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2"/>
        </w:rPr>
        <w:id w:val="1716844850"/>
        <w:docPartObj>
          <w:docPartGallery w:val="Cover Pages"/>
          <w:docPartUnique/>
        </w:docPartObj>
      </w:sdtPr>
      <w:sdtEndPr>
        <w:rPr>
          <w:rFonts w:cs="Arial"/>
          <w:sz w:val="20"/>
          <w:szCs w:val="20"/>
        </w:rPr>
      </w:sdtEndPr>
      <w:sdtContent>
        <w:p w14:paraId="1CB91A6C" w14:textId="77777777" w:rsidR="00FB4CB5" w:rsidRPr="0049606C" w:rsidRDefault="00FB4CB5" w:rsidP="00090AC3">
          <w:pPr>
            <w:pStyle w:val="Footnote"/>
            <w:ind w:left="0" w:firstLine="0"/>
          </w:pPr>
        </w:p>
        <w:p w14:paraId="04377010" w14:textId="77777777" w:rsidR="00FB4CB5" w:rsidRPr="0049606C" w:rsidRDefault="00FB4CB5">
          <w:pPr>
            <w:rPr>
              <w:rFonts w:eastAsia="MS Gothic" w:cs="Arial"/>
              <w:b/>
              <w:bCs/>
              <w:sz w:val="28"/>
              <w:szCs w:val="28"/>
              <w:lang w:val="en-US" w:eastAsia="ja-JP"/>
            </w:rPr>
          </w:pPr>
        </w:p>
        <w:p w14:paraId="5DD2CC95" w14:textId="77777777" w:rsidR="00EC438D" w:rsidRPr="0049606C" w:rsidRDefault="00EC438D">
          <w:pPr>
            <w:rPr>
              <w:rFonts w:eastAsia="MS Gothic" w:cs="Arial"/>
              <w:b/>
              <w:bCs/>
              <w:sz w:val="28"/>
              <w:szCs w:val="28"/>
              <w:lang w:val="en-US" w:eastAsia="ja-JP"/>
            </w:rPr>
          </w:pPr>
        </w:p>
        <w:p w14:paraId="7AFF67DC" w14:textId="77777777" w:rsidR="00EC438D" w:rsidRPr="0049606C" w:rsidRDefault="00EC438D">
          <w:pPr>
            <w:rPr>
              <w:rFonts w:eastAsia="MS Gothic" w:cs="Arial"/>
              <w:b/>
              <w:bCs/>
              <w:sz w:val="28"/>
              <w:szCs w:val="28"/>
              <w:lang w:val="en-US" w:eastAsia="ja-JP"/>
            </w:rPr>
          </w:pPr>
        </w:p>
        <w:p w14:paraId="33406D2A" w14:textId="77777777" w:rsidR="00EC438D" w:rsidRPr="0049606C" w:rsidRDefault="00EC438D">
          <w:pPr>
            <w:rPr>
              <w:rFonts w:eastAsia="MS Gothic" w:cs="Arial"/>
              <w:b/>
              <w:bCs/>
              <w:sz w:val="28"/>
              <w:szCs w:val="28"/>
              <w:lang w:val="en-US" w:eastAsia="ja-JP"/>
            </w:rPr>
          </w:pPr>
        </w:p>
        <w:p w14:paraId="49A8C30B" w14:textId="77777777" w:rsidR="00EC438D" w:rsidRPr="0049606C" w:rsidRDefault="00DF1866" w:rsidP="008B720F">
          <w:pPr>
            <w:ind w:left="-1440"/>
            <w:rPr>
              <w:rFonts w:eastAsia="MS Gothic" w:cs="Arial"/>
              <w:b/>
              <w:bCs/>
              <w:sz w:val="28"/>
              <w:szCs w:val="28"/>
              <w:lang w:val="en-US" w:eastAsia="ja-JP"/>
            </w:rPr>
          </w:pPr>
          <w:r>
            <w:rPr>
              <w:noProof/>
              <w:lang w:eastAsia="en-GB"/>
            </w:rPr>
            <mc:AlternateContent>
              <mc:Choice Requires="wps">
                <w:drawing>
                  <wp:anchor distT="0" distB="0" distL="114300" distR="114300" simplePos="0" relativeHeight="251659264" behindDoc="0" locked="0" layoutInCell="1" allowOverlap="1" wp14:anchorId="07052027" wp14:editId="6AAF3336">
                    <wp:simplePos x="0" y="0"/>
                    <wp:positionH relativeFrom="column">
                      <wp:posOffset>-109220</wp:posOffset>
                    </wp:positionH>
                    <wp:positionV relativeFrom="paragraph">
                      <wp:posOffset>727075</wp:posOffset>
                    </wp:positionV>
                    <wp:extent cx="6166485" cy="411416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166485" cy="4114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6E8014" w14:textId="165D7AF7" w:rsidR="009663A1" w:rsidRPr="000B17C5" w:rsidRDefault="00C3780B" w:rsidP="009663A1">
                                <w:pPr>
                                  <w:pStyle w:val="DocumentTitle"/>
                                  <w:rPr>
                                    <w:vertAlign w:val="subscript"/>
                                  </w:rPr>
                                </w:pPr>
                                <w:r>
                                  <w:rPr>
                                    <w:vertAlign w:val="subscript"/>
                                  </w:rPr>
                                  <w:t xml:space="preserve">Report and Support Services: </w:t>
                                </w:r>
                                <w:r w:rsidR="00D40E58">
                                  <w:rPr>
                                    <w:vertAlign w:val="subscript"/>
                                  </w:rPr>
                                  <w:t xml:space="preserve">Duty of Care Guidance </w:t>
                                </w:r>
                              </w:p>
                              <w:p w14:paraId="44345BBA" w14:textId="77777777" w:rsidR="009663A1" w:rsidRPr="00432516" w:rsidRDefault="009663A1" w:rsidP="009663A1">
                                <w:pPr>
                                  <w:pStyle w:val="Subtitle"/>
                                  <w:rPr>
                                    <w:rFonts w:eastAsia="MS Gothic"/>
                                    <w:highlight w:val="yellow"/>
                                  </w:rPr>
                                </w:pPr>
                              </w:p>
                              <w:p w14:paraId="27AFCDF5" w14:textId="0AC0BA26" w:rsidR="009663A1" w:rsidRPr="00D07FF9" w:rsidRDefault="00D40E58" w:rsidP="009663A1">
                                <w:pPr>
                                  <w:pStyle w:val="Subtitle"/>
                                  <w:rPr>
                                    <w:rFonts w:eastAsia="MS Gothic"/>
                                  </w:rPr>
                                </w:pPr>
                                <w:r>
                                  <w:rPr>
                                    <w:rFonts w:eastAsia="MS Gothic"/>
                                  </w:rPr>
                                  <w:t xml:space="preserve">Version </w:t>
                                </w:r>
                                <w:r w:rsidR="00CC3477">
                                  <w:rPr>
                                    <w:rFonts w:eastAsia="MS Gothic"/>
                                  </w:rPr>
                                  <w:t>1</w:t>
                                </w:r>
                              </w:p>
                              <w:p w14:paraId="0B520769" w14:textId="77777777" w:rsidR="00063F7B" w:rsidRPr="00D22CCA" w:rsidRDefault="00063F7B" w:rsidP="00027D88">
                                <w:pPr>
                                  <w:pStyle w:val="Document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2027" id="_x0000_t202" coordsize="21600,21600" o:spt="202" path="m,l,21600r21600,l21600,xe">
                    <v:stroke joinstyle="miter"/>
                    <v:path gradientshapeok="t" o:connecttype="rect"/>
                  </v:shapetype>
                  <v:shape id="Text Box 3" o:spid="_x0000_s1026" type="#_x0000_t202" style="position:absolute;left:0;text-align:left;margin-left:-8.6pt;margin-top:57.25pt;width:485.55pt;height:3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" filled="f" stroked="f">
                    <v:textbox>
                      <w:txbxContent>
                        <w:p w14:paraId="626E8014" w14:textId="165D7AF7" w:rsidR="009663A1" w:rsidRPr="000B17C5" w:rsidRDefault="00C3780B" w:rsidP="009663A1">
                          <w:pPr>
                            <w:pStyle w:val="DocumentTitle"/>
                            <w:rPr>
                              <w:vertAlign w:val="subscript"/>
                            </w:rPr>
                          </w:pPr>
                          <w:r>
                            <w:rPr>
                              <w:vertAlign w:val="subscript"/>
                            </w:rPr>
                            <w:t xml:space="preserve">Report and Support Services: </w:t>
                          </w:r>
                          <w:r w:rsidR="00D40E58">
                            <w:rPr>
                              <w:vertAlign w:val="subscript"/>
                            </w:rPr>
                            <w:t xml:space="preserve">Duty of Care Guidance </w:t>
                          </w:r>
                        </w:p>
                        <w:p w14:paraId="44345BBA" w14:textId="77777777" w:rsidR="009663A1" w:rsidRPr="00432516" w:rsidRDefault="009663A1" w:rsidP="009663A1">
                          <w:pPr>
                            <w:pStyle w:val="Subtitle"/>
                            <w:rPr>
                              <w:rFonts w:eastAsia="MS Gothic"/>
                              <w:highlight w:val="yellow"/>
                            </w:rPr>
                          </w:pPr>
                        </w:p>
                        <w:p w14:paraId="27AFCDF5" w14:textId="0AC0BA26" w:rsidR="009663A1" w:rsidRPr="00D07FF9" w:rsidRDefault="00D40E58" w:rsidP="009663A1">
                          <w:pPr>
                            <w:pStyle w:val="Subtitle"/>
                            <w:rPr>
                              <w:rFonts w:eastAsia="MS Gothic"/>
                            </w:rPr>
                          </w:pPr>
                          <w:r>
                            <w:rPr>
                              <w:rFonts w:eastAsia="MS Gothic"/>
                            </w:rPr>
                            <w:t xml:space="preserve">Version </w:t>
                          </w:r>
                          <w:r w:rsidR="00CC3477">
                            <w:rPr>
                              <w:rFonts w:eastAsia="MS Gothic"/>
                            </w:rPr>
                            <w:t>1</w:t>
                          </w:r>
                        </w:p>
                        <w:p w14:paraId="0B520769" w14:textId="77777777" w:rsidR="00063F7B" w:rsidRPr="00D22CCA" w:rsidRDefault="00063F7B" w:rsidP="00027D88">
                          <w:pPr>
                            <w:pStyle w:val="DocumentTitle"/>
                          </w:pPr>
                        </w:p>
                      </w:txbxContent>
                    </v:textbox>
                    <w10:wrap type="square"/>
                  </v:shape>
                </w:pict>
              </mc:Fallback>
            </mc:AlternateContent>
          </w:r>
        </w:p>
        <w:p w14:paraId="6A4F4E37" w14:textId="77777777" w:rsidR="00E07FCB" w:rsidRDefault="00E07FCB" w:rsidP="00DF1866">
          <w:pPr>
            <w:pStyle w:val="Index"/>
            <w:rPr>
              <w:rFonts w:eastAsia="MS Gothic"/>
            </w:rPr>
          </w:pPr>
        </w:p>
        <w:p w14:paraId="7F789048" w14:textId="77777777" w:rsidR="002B01A7" w:rsidRDefault="002B01A7" w:rsidP="00357679">
          <w:pPr>
            <w:pStyle w:val="DocTitle"/>
            <w:rPr>
              <w:sz w:val="52"/>
              <w:szCs w:val="52"/>
            </w:rPr>
          </w:pPr>
        </w:p>
        <w:p w14:paraId="4F442778" w14:textId="77777777" w:rsidR="002B01A7" w:rsidRDefault="002B01A7" w:rsidP="00357679">
          <w:pPr>
            <w:pStyle w:val="DocTitle"/>
            <w:rPr>
              <w:sz w:val="52"/>
              <w:szCs w:val="52"/>
            </w:rPr>
          </w:pPr>
        </w:p>
        <w:p w14:paraId="04AB169E" w14:textId="77777777" w:rsidR="002B01A7" w:rsidRPr="00357679" w:rsidRDefault="002B01A7" w:rsidP="00357679">
          <w:pPr>
            <w:pStyle w:val="DocTitle"/>
            <w:rPr>
              <w:sz w:val="52"/>
              <w:szCs w:val="52"/>
            </w:rPr>
          </w:pPr>
        </w:p>
        <w:p w14:paraId="328F4DB7" w14:textId="77777777" w:rsidR="00FB4CB5" w:rsidRPr="0049606C" w:rsidRDefault="00FB4CB5">
          <w:pPr>
            <w:jc w:val="left"/>
            <w:rPr>
              <w:rFonts w:eastAsia="MS Gothic" w:cs="Arial"/>
              <w:b/>
              <w:bCs/>
              <w:sz w:val="28"/>
              <w:szCs w:val="28"/>
              <w:lang w:val="en-US" w:eastAsia="ja-JP"/>
            </w:rPr>
          </w:pPr>
          <w:r w:rsidRPr="0049606C">
            <w:rPr>
              <w:rFonts w:cs="Arial"/>
            </w:rPr>
            <w:br w:type="page"/>
          </w:r>
        </w:p>
      </w:sdtContent>
    </w:sdt>
    <w:p w14:paraId="28335E32" w14:textId="77777777" w:rsidR="00CC3477" w:rsidRPr="003A5B2D" w:rsidRDefault="00CC3477" w:rsidP="00452266">
      <w:pPr>
        <w:pStyle w:val="Heading1"/>
        <w:numPr>
          <w:ilvl w:val="0"/>
          <w:numId w:val="0"/>
        </w:numPr>
        <w:ind w:left="851" w:hanging="851"/>
        <w:rPr>
          <w:rFonts w:eastAsia="Aptos"/>
        </w:rPr>
      </w:pPr>
      <w:bookmarkStart w:id="0" w:name="_Toc198652500"/>
      <w:bookmarkStart w:id="1" w:name="_Toc201594182"/>
      <w:r w:rsidRPr="003A5B2D">
        <w:rPr>
          <w:rFonts w:eastAsia="Aptos"/>
        </w:rPr>
        <w:lastRenderedPageBreak/>
        <w:t>Report and Support Services – Duty of Care Guidance</w:t>
      </w:r>
      <w:bookmarkEnd w:id="0"/>
      <w:bookmarkEnd w:id="1"/>
    </w:p>
    <w:p w14:paraId="55B15F6E" w14:textId="5E7078B5" w:rsidR="00CC3477" w:rsidRPr="003A5B2D" w:rsidRDefault="00CC3477" w:rsidP="0A041A6B">
      <w:pPr>
        <w:spacing w:after="160" w:line="259" w:lineRule="auto"/>
        <w:jc w:val="left"/>
        <w:rPr>
          <w:rFonts w:eastAsia="Aptos" w:cs="Arial"/>
          <w:kern w:val="2"/>
          <w:sz w:val="22"/>
          <w14:ligatures w14:val="standardContextual"/>
        </w:rPr>
      </w:pPr>
      <w:r w:rsidRPr="0A041A6B">
        <w:rPr>
          <w:rFonts w:eastAsia="Aptos" w:cs="Arial"/>
          <w:kern w:val="2"/>
          <w:sz w:val="22"/>
          <w14:ligatures w14:val="standardContextual"/>
        </w:rPr>
        <w:t>Where a report is received by Bloomsbury Institute through the Report and Support Services reporting forms</w:t>
      </w:r>
      <w:r w:rsidR="00EF446C">
        <w:rPr>
          <w:rFonts w:eastAsia="Aptos" w:cs="Arial"/>
          <w:kern w:val="2"/>
          <w:sz w:val="22"/>
          <w14:ligatures w14:val="standardContextual"/>
        </w:rPr>
        <w:t xml:space="preserve"> or in person</w:t>
      </w:r>
      <w:r w:rsidRPr="0A041A6B">
        <w:rPr>
          <w:rFonts w:eastAsia="Aptos" w:cs="Arial"/>
          <w:kern w:val="2"/>
          <w:sz w:val="22"/>
          <w14:ligatures w14:val="standardContextual"/>
        </w:rPr>
        <w:t>, we will ordinarily only carry out an investigation or make a report of the complaint to an external third party with your consent. However, there are certain circumstances when we may need to investigate or make an external report even if you do not consent. Details of the most likely circumstances are set out below. This list is not intended to be exhaustive and the actions taken by us will depend on the specific circumstances of each case.</w:t>
      </w:r>
    </w:p>
    <w:p w14:paraId="6FBD7544" w14:textId="25B2B6C3" w:rsidR="00CC3477" w:rsidRPr="003A5B2D" w:rsidRDefault="00CC3477" w:rsidP="00CC3477">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 xml:space="preserve">If you have any questions on the escalation circumstances, please contact </w:t>
      </w:r>
      <w:r w:rsidR="003F3F27" w:rsidRPr="006675E6">
        <w:rPr>
          <w:rFonts w:eastAsia="Aptos" w:cs="Arial"/>
          <w:kern w:val="2"/>
          <w:sz w:val="22"/>
          <w14:ligatures w14:val="standardContextual"/>
        </w:rPr>
        <w:t xml:space="preserve">Antony Charles, Head of People and Development at </w:t>
      </w:r>
      <w:hyperlink r:id="rId12" w:history="1">
        <w:r w:rsidR="006675E6">
          <w:rPr>
            <w:rStyle w:val="Hyperlink"/>
            <w:rFonts w:eastAsia="Aptos" w:cs="Arial"/>
            <w:kern w:val="2"/>
            <w:sz w:val="22"/>
            <w14:ligatures w14:val="standardContextual"/>
          </w:rPr>
          <w:t>antony.charles@bil.ac.uk</w:t>
        </w:r>
      </w:hyperlink>
      <w:r w:rsidRPr="006675E6">
        <w:rPr>
          <w:rFonts w:eastAsia="Aptos" w:cs="Arial"/>
          <w:kern w:val="2"/>
          <w:sz w:val="22"/>
          <w14:ligatures w14:val="standardContextual"/>
        </w:rPr>
        <w:t>.</w:t>
      </w:r>
    </w:p>
    <w:p w14:paraId="5248A6E4" w14:textId="77777777" w:rsidR="00CC3477" w:rsidRPr="003A5B2D" w:rsidRDefault="00CC3477" w:rsidP="00CC3477">
      <w:pPr>
        <w:spacing w:after="160" w:line="259" w:lineRule="auto"/>
        <w:jc w:val="left"/>
        <w:rPr>
          <w:rFonts w:eastAsia="Aptos" w:cs="Arial"/>
          <w:b/>
          <w:bCs/>
          <w:kern w:val="2"/>
          <w:sz w:val="22"/>
          <w14:ligatures w14:val="standardContextual"/>
        </w:rPr>
      </w:pPr>
      <w:r w:rsidRPr="003A5B2D">
        <w:rPr>
          <w:rFonts w:eastAsia="Aptos" w:cs="Arial"/>
          <w:b/>
          <w:bCs/>
          <w:kern w:val="2"/>
          <w:sz w:val="22"/>
          <w14:ligatures w14:val="standardContextual"/>
        </w:rPr>
        <w:t>An allegation about behaviour by a staff member or student towards a student who is under the age of 18. We may need to do the following:</w:t>
      </w:r>
    </w:p>
    <w:p w14:paraId="483755F7" w14:textId="680DA914" w:rsidR="00CC3477" w:rsidRPr="003A5B2D" w:rsidRDefault="00CC3477" w:rsidP="00CC3477">
      <w:pPr>
        <w:numPr>
          <w:ilvl w:val="0"/>
          <w:numId w:val="45"/>
        </w:numPr>
        <w:spacing w:after="160" w:line="259" w:lineRule="auto"/>
        <w:contextualSpacing/>
        <w:jc w:val="left"/>
        <w:rPr>
          <w:rFonts w:eastAsia="Aptos" w:cs="Arial"/>
          <w:kern w:val="2"/>
          <w:sz w:val="22"/>
          <w14:ligatures w14:val="standardContextual"/>
        </w:rPr>
      </w:pPr>
      <w:r w:rsidRPr="66BD7C2B">
        <w:rPr>
          <w:rFonts w:eastAsia="Aptos" w:cs="Arial"/>
          <w:kern w:val="2"/>
          <w:sz w:val="22"/>
          <w14:ligatures w14:val="standardContextual"/>
        </w:rPr>
        <w:t>Report the matter to the police and/or social care services, including where a child is in immediate danger or is at risk of harm, a crime is in progress, there is evidence of a possible criminal offence, or life is at risk.</w:t>
      </w:r>
    </w:p>
    <w:p w14:paraId="0DE9B61B" w14:textId="77777777" w:rsidR="00CC3477" w:rsidRPr="003A5B2D" w:rsidRDefault="00CC3477" w:rsidP="00CC3477">
      <w:pPr>
        <w:spacing w:after="160" w:line="259" w:lineRule="auto"/>
        <w:ind w:left="444"/>
        <w:contextualSpacing/>
        <w:jc w:val="left"/>
        <w:rPr>
          <w:rFonts w:eastAsia="Aptos" w:cs="Arial"/>
          <w:kern w:val="2"/>
          <w:sz w:val="22"/>
          <w14:ligatures w14:val="standardContextual"/>
        </w:rPr>
      </w:pPr>
    </w:p>
    <w:p w14:paraId="59FBE753" w14:textId="77777777" w:rsidR="00CC3477" w:rsidRPr="003A5B2D" w:rsidRDefault="00CC3477" w:rsidP="00CC3477">
      <w:pPr>
        <w:numPr>
          <w:ilvl w:val="0"/>
          <w:numId w:val="45"/>
        </w:numPr>
        <w:spacing w:after="160" w:line="259" w:lineRule="auto"/>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Notify the Local Authority Designated Officer, including where the case meets the reporting threshold for a “safeguarding allegation relating to a child”. </w:t>
      </w:r>
    </w:p>
    <w:p w14:paraId="2FE639DD" w14:textId="77777777" w:rsidR="00CC3477" w:rsidRPr="003A5B2D" w:rsidRDefault="00CC3477" w:rsidP="00CC3477">
      <w:pPr>
        <w:spacing w:after="160" w:line="259" w:lineRule="auto"/>
        <w:ind w:left="720"/>
        <w:contextualSpacing/>
        <w:jc w:val="left"/>
        <w:rPr>
          <w:rFonts w:eastAsia="Aptos" w:cs="Arial"/>
          <w:kern w:val="2"/>
          <w:sz w:val="22"/>
          <w14:ligatures w14:val="standardContextual"/>
        </w:rPr>
      </w:pPr>
    </w:p>
    <w:p w14:paraId="2E469D8A" w14:textId="77777777" w:rsidR="00CC3477" w:rsidRPr="003A5B2D" w:rsidRDefault="00CC3477" w:rsidP="00CC3477">
      <w:pPr>
        <w:numPr>
          <w:ilvl w:val="0"/>
          <w:numId w:val="45"/>
        </w:numPr>
        <w:spacing w:after="160" w:line="259" w:lineRule="auto"/>
        <w:contextualSpacing/>
        <w:jc w:val="left"/>
        <w:rPr>
          <w:rFonts w:eastAsia="Aptos" w:cs="Arial"/>
          <w:kern w:val="2"/>
          <w:sz w:val="22"/>
          <w14:ligatures w14:val="standardContextual"/>
        </w:rPr>
      </w:pPr>
      <w:r w:rsidRPr="1940660D">
        <w:rPr>
          <w:rFonts w:eastAsia="Aptos" w:cs="Arial"/>
          <w:kern w:val="2"/>
          <w:sz w:val="22"/>
          <w14:ligatures w14:val="standardContextual"/>
        </w:rPr>
        <w:t>Where the identity of the child is known, the child’s parents or guardian may be informed.</w:t>
      </w:r>
    </w:p>
    <w:p w14:paraId="66169132" w14:textId="77777777" w:rsidR="00CC3477" w:rsidRPr="003A5B2D" w:rsidRDefault="00CC3477" w:rsidP="00CC3477">
      <w:pPr>
        <w:spacing w:after="160" w:line="259" w:lineRule="auto"/>
        <w:ind w:left="720"/>
        <w:contextualSpacing/>
        <w:jc w:val="left"/>
        <w:rPr>
          <w:rFonts w:eastAsia="Aptos" w:cs="Arial"/>
          <w:kern w:val="2"/>
          <w:sz w:val="22"/>
          <w14:ligatures w14:val="standardContextual"/>
        </w:rPr>
      </w:pPr>
    </w:p>
    <w:p w14:paraId="0ACD11BF" w14:textId="77777777" w:rsidR="00CC3477" w:rsidRPr="003A5B2D" w:rsidRDefault="00CC3477" w:rsidP="00CC3477">
      <w:pPr>
        <w:numPr>
          <w:ilvl w:val="0"/>
          <w:numId w:val="45"/>
        </w:numPr>
        <w:spacing w:after="160" w:line="259" w:lineRule="auto"/>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Investigate the matter further in accordance with our internal policies. In deciding whether to investigate in such circumstances, </w:t>
      </w:r>
      <w:bookmarkStart w:id="2" w:name="_Hlk195779334"/>
      <w:r w:rsidRPr="003A5B2D">
        <w:rPr>
          <w:rFonts w:eastAsia="Aptos" w:cs="Arial"/>
          <w:kern w:val="2"/>
          <w:sz w:val="22"/>
          <w14:ligatures w14:val="standardContextual"/>
        </w:rPr>
        <w:t xml:space="preserve">Bloomsbury Institute </w:t>
      </w:r>
      <w:bookmarkEnd w:id="2"/>
      <w:r w:rsidRPr="003A5B2D">
        <w:rPr>
          <w:rFonts w:eastAsia="Aptos" w:cs="Arial"/>
          <w:kern w:val="2"/>
          <w:sz w:val="22"/>
          <w14:ligatures w14:val="standardContextual"/>
        </w:rPr>
        <w:t>will consider, for example, the seriousness of the incident or where multiple allegations have been made against an individual.</w:t>
      </w:r>
    </w:p>
    <w:p w14:paraId="782E730C" w14:textId="77777777" w:rsidR="00CC3477" w:rsidRPr="003A5B2D" w:rsidRDefault="00CC3477" w:rsidP="00CC3477">
      <w:pPr>
        <w:spacing w:after="160" w:line="259" w:lineRule="auto"/>
        <w:ind w:left="720"/>
        <w:contextualSpacing/>
        <w:jc w:val="left"/>
        <w:rPr>
          <w:rFonts w:eastAsia="Aptos" w:cs="Arial"/>
          <w:kern w:val="2"/>
          <w:sz w:val="22"/>
          <w14:ligatures w14:val="standardContextual"/>
        </w:rPr>
      </w:pPr>
    </w:p>
    <w:p w14:paraId="29008913" w14:textId="77777777" w:rsidR="00CC3477" w:rsidRPr="003A5B2D" w:rsidRDefault="00CC3477" w:rsidP="00CC3477">
      <w:pPr>
        <w:spacing w:after="160" w:line="259" w:lineRule="auto"/>
        <w:contextualSpacing/>
        <w:jc w:val="left"/>
        <w:rPr>
          <w:rFonts w:eastAsia="Aptos" w:cs="Arial"/>
          <w:b/>
          <w:bCs/>
          <w:kern w:val="2"/>
          <w:sz w:val="22"/>
          <w14:ligatures w14:val="standardContextual"/>
        </w:rPr>
      </w:pPr>
      <w:r w:rsidRPr="003A5B2D">
        <w:rPr>
          <w:rFonts w:eastAsia="Aptos" w:cs="Arial"/>
          <w:b/>
          <w:bCs/>
          <w:kern w:val="2"/>
          <w:sz w:val="22"/>
          <w14:ligatures w14:val="standardContextual"/>
        </w:rPr>
        <w:t>An allegation about behaviour by a staff member or student towards an adult at risk.  Bloomsbury Institute may need to do the following:</w:t>
      </w:r>
    </w:p>
    <w:p w14:paraId="14975F2B" w14:textId="77777777" w:rsidR="00CC3477" w:rsidRPr="003A5B2D" w:rsidRDefault="00CC3477" w:rsidP="00CC3477">
      <w:pPr>
        <w:spacing w:after="160" w:line="259" w:lineRule="auto"/>
        <w:ind w:left="720"/>
        <w:contextualSpacing/>
        <w:jc w:val="left"/>
        <w:rPr>
          <w:rFonts w:eastAsia="Aptos" w:cs="Arial"/>
          <w:kern w:val="2"/>
          <w:sz w:val="22"/>
          <w14:ligatures w14:val="standardContextual"/>
        </w:rPr>
      </w:pPr>
    </w:p>
    <w:p w14:paraId="0E2AB01E" w14:textId="77777777" w:rsidR="00CC3477" w:rsidRPr="003A5B2D" w:rsidRDefault="00CC3477" w:rsidP="00CC3477">
      <w:pPr>
        <w:numPr>
          <w:ilvl w:val="0"/>
          <w:numId w:val="46"/>
        </w:numPr>
        <w:spacing w:after="160" w:line="259" w:lineRule="auto"/>
        <w:ind w:left="426" w:hanging="284"/>
        <w:contextualSpacing/>
        <w:jc w:val="left"/>
        <w:rPr>
          <w:rFonts w:eastAsia="Aptos" w:cs="Arial"/>
          <w:kern w:val="2"/>
          <w:sz w:val="22"/>
          <w14:ligatures w14:val="standardContextual"/>
        </w:rPr>
      </w:pPr>
      <w:r w:rsidRPr="66BD7C2B">
        <w:rPr>
          <w:rFonts w:eastAsia="Aptos" w:cs="Arial"/>
          <w:kern w:val="2"/>
          <w:sz w:val="22"/>
          <w14:ligatures w14:val="standardContextual"/>
        </w:rPr>
        <w:t>Refer the matter to adult social care and/or police including if an adult at risk is in immediate danger or is at risk of harm, a crime is in progress, has occurred or may occur, or life is at risk.</w:t>
      </w:r>
    </w:p>
    <w:p w14:paraId="16B32AEB" w14:textId="77777777" w:rsidR="00CC3477" w:rsidRPr="003A5B2D" w:rsidRDefault="00CC3477" w:rsidP="00CC3477">
      <w:pPr>
        <w:spacing w:after="160" w:line="259" w:lineRule="auto"/>
        <w:ind w:left="804"/>
        <w:contextualSpacing/>
        <w:jc w:val="left"/>
        <w:rPr>
          <w:rFonts w:eastAsia="Aptos" w:cs="Arial"/>
          <w:kern w:val="2"/>
          <w:sz w:val="22"/>
          <w14:ligatures w14:val="standardContextual"/>
        </w:rPr>
      </w:pPr>
    </w:p>
    <w:p w14:paraId="72823FCD" w14:textId="51BAEC82" w:rsidR="00CC3477" w:rsidRPr="003A5B2D" w:rsidRDefault="00CC3477" w:rsidP="00CC3477">
      <w:pPr>
        <w:numPr>
          <w:ilvl w:val="0"/>
          <w:numId w:val="46"/>
        </w:numPr>
        <w:spacing w:after="160" w:line="259" w:lineRule="auto"/>
        <w:ind w:left="426" w:hanging="284"/>
        <w:contextualSpacing/>
        <w:jc w:val="left"/>
        <w:rPr>
          <w:rFonts w:eastAsia="Aptos" w:cs="Arial"/>
          <w:kern w:val="2"/>
          <w:sz w:val="22"/>
          <w14:ligatures w14:val="standardContextual"/>
        </w:rPr>
      </w:pPr>
      <w:r w:rsidRPr="66BD7C2B">
        <w:rPr>
          <w:rFonts w:eastAsia="Aptos" w:cs="Arial"/>
          <w:kern w:val="2"/>
          <w:sz w:val="22"/>
          <w14:ligatures w14:val="standardContextual"/>
        </w:rPr>
        <w:t xml:space="preserve">Refer to adult social care if, </w:t>
      </w:r>
      <w:proofErr w:type="gramStart"/>
      <w:r w:rsidRPr="66BD7C2B">
        <w:rPr>
          <w:rFonts w:eastAsia="Aptos" w:cs="Arial"/>
          <w:kern w:val="2"/>
          <w:sz w:val="22"/>
          <w14:ligatures w14:val="standardContextual"/>
        </w:rPr>
        <w:t>on the basis of</w:t>
      </w:r>
      <w:proofErr w:type="gramEnd"/>
      <w:r w:rsidRPr="66BD7C2B">
        <w:rPr>
          <w:rFonts w:eastAsia="Aptos" w:cs="Arial"/>
          <w:kern w:val="2"/>
          <w:sz w:val="22"/>
          <w14:ligatures w14:val="standardContextual"/>
        </w:rPr>
        <w:t xml:space="preserve"> the information available, it appears to Bloomsbury Institute that the following three criteria are met:</w:t>
      </w:r>
    </w:p>
    <w:p w14:paraId="09D691CA" w14:textId="77777777" w:rsidR="00CC3477" w:rsidRPr="003A5B2D" w:rsidRDefault="00CC3477" w:rsidP="00CC3477">
      <w:pPr>
        <w:spacing w:after="160" w:line="259" w:lineRule="auto"/>
        <w:ind w:left="720"/>
        <w:contextualSpacing/>
        <w:jc w:val="left"/>
        <w:rPr>
          <w:rFonts w:eastAsia="Aptos" w:cs="Arial"/>
          <w:kern w:val="2"/>
          <w:sz w:val="22"/>
          <w14:ligatures w14:val="standardContextual"/>
        </w:rPr>
      </w:pPr>
    </w:p>
    <w:p w14:paraId="07A39EAB"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t>a person has care and support needs (regardless of the level or seriousness of those care and support needs</w:t>
      </w:r>
      <w:proofErr w:type="gramStart"/>
      <w:r w:rsidRPr="003A5B2D">
        <w:rPr>
          <w:rFonts w:eastAsia="Aptos" w:cs="Arial"/>
          <w:kern w:val="2"/>
          <w:sz w:val="22"/>
          <w14:ligatures w14:val="standardContextual"/>
        </w:rPr>
        <w:t>);</w:t>
      </w:r>
      <w:proofErr w:type="gramEnd"/>
    </w:p>
    <w:p w14:paraId="2B0AC703" w14:textId="77777777" w:rsidR="00CC3477" w:rsidRPr="003A5B2D" w:rsidRDefault="00CC3477" w:rsidP="00CC3477">
      <w:pPr>
        <w:spacing w:after="160" w:line="259" w:lineRule="auto"/>
        <w:ind w:left="709"/>
        <w:contextualSpacing/>
        <w:jc w:val="left"/>
        <w:rPr>
          <w:rFonts w:eastAsia="Aptos" w:cs="Arial"/>
          <w:kern w:val="2"/>
          <w:sz w:val="22"/>
          <w14:ligatures w14:val="standardContextual"/>
        </w:rPr>
      </w:pPr>
    </w:p>
    <w:p w14:paraId="57817D1A"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 they may be experiencing or at risk of abuse and neglect; and</w:t>
      </w:r>
    </w:p>
    <w:p w14:paraId="1DA9456F" w14:textId="77777777" w:rsidR="00CC3477" w:rsidRPr="003A5B2D" w:rsidRDefault="00CC3477" w:rsidP="00CC3477">
      <w:pPr>
        <w:spacing w:after="160" w:line="259" w:lineRule="auto"/>
        <w:ind w:left="720"/>
        <w:contextualSpacing/>
        <w:jc w:val="left"/>
        <w:rPr>
          <w:rFonts w:eastAsia="Aptos" w:cs="Arial"/>
          <w:kern w:val="2"/>
          <w:sz w:val="22"/>
          <w14:ligatures w14:val="standardContextual"/>
        </w:rPr>
      </w:pPr>
    </w:p>
    <w:p w14:paraId="01D977E3"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 they are unable to protect themselves from that abuse and neglect because of those care and support needs.</w:t>
      </w:r>
    </w:p>
    <w:p w14:paraId="0ED8FAA9" w14:textId="77777777" w:rsidR="00CC3477" w:rsidRPr="003A5B2D" w:rsidRDefault="00CC3477" w:rsidP="00CC3477">
      <w:pPr>
        <w:spacing w:after="160" w:line="259" w:lineRule="auto"/>
        <w:ind w:left="1164"/>
        <w:contextualSpacing/>
        <w:jc w:val="left"/>
        <w:rPr>
          <w:rFonts w:eastAsia="Aptos" w:cs="Arial"/>
          <w:kern w:val="2"/>
          <w:sz w:val="22"/>
          <w14:ligatures w14:val="standardContextual"/>
        </w:rPr>
      </w:pPr>
    </w:p>
    <w:p w14:paraId="3514EBE8" w14:textId="77777777" w:rsidR="00CC3477" w:rsidRPr="003A5B2D" w:rsidRDefault="00CC3477" w:rsidP="00CC3477">
      <w:pPr>
        <w:spacing w:after="160" w:line="259" w:lineRule="auto"/>
        <w:contextualSpacing/>
        <w:jc w:val="left"/>
        <w:rPr>
          <w:rFonts w:eastAsia="Aptos" w:cs="Arial"/>
          <w:kern w:val="2"/>
          <w:sz w:val="22"/>
          <w14:ligatures w14:val="standardContextual"/>
        </w:rPr>
      </w:pPr>
      <w:r w:rsidRPr="003A5B2D">
        <w:rPr>
          <w:rFonts w:eastAsia="Aptos" w:cs="Arial"/>
          <w:kern w:val="2"/>
          <w:sz w:val="22"/>
          <w14:ligatures w14:val="standardContextual"/>
        </w:rPr>
        <w:t>If an adult refuses intervention to support them, or requests that information about them is not shared with other safeguarding partners, a referral to a third party may be made by Bloomsbury Institute on a case-by-case basis including if:</w:t>
      </w:r>
    </w:p>
    <w:p w14:paraId="7EAAEAD6" w14:textId="77777777" w:rsidR="00CC3477" w:rsidRPr="003A5B2D" w:rsidRDefault="00CC3477" w:rsidP="00CC3477">
      <w:pPr>
        <w:spacing w:after="160" w:line="259" w:lineRule="auto"/>
        <w:contextualSpacing/>
        <w:jc w:val="left"/>
        <w:rPr>
          <w:rFonts w:eastAsia="Aptos" w:cs="Arial"/>
          <w:kern w:val="2"/>
          <w:sz w:val="22"/>
          <w14:ligatures w14:val="standardContextual"/>
        </w:rPr>
      </w:pPr>
    </w:p>
    <w:p w14:paraId="7DFFFF7C"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lastRenderedPageBreak/>
        <w:t xml:space="preserve">the adult lacks the mental capacity to make that decision – this must be properly explored and recorded in line with the Mental Capacity Act </w:t>
      </w:r>
      <w:proofErr w:type="gramStart"/>
      <w:r w:rsidRPr="003A5B2D">
        <w:rPr>
          <w:rFonts w:eastAsia="Aptos" w:cs="Arial"/>
          <w:kern w:val="2"/>
          <w:sz w:val="22"/>
          <w14:ligatures w14:val="standardContextual"/>
        </w:rPr>
        <w:t>2005;</w:t>
      </w:r>
      <w:proofErr w:type="gramEnd"/>
    </w:p>
    <w:p w14:paraId="60F9400A" w14:textId="77777777" w:rsidR="00CC3477" w:rsidRPr="003A5B2D" w:rsidRDefault="00CC3477" w:rsidP="00CC3477">
      <w:pPr>
        <w:spacing w:after="160" w:line="259" w:lineRule="auto"/>
        <w:ind w:left="1164"/>
        <w:contextualSpacing/>
        <w:jc w:val="left"/>
        <w:rPr>
          <w:rFonts w:eastAsia="Aptos" w:cs="Arial"/>
          <w:kern w:val="2"/>
          <w:sz w:val="22"/>
          <w14:ligatures w14:val="standardContextual"/>
        </w:rPr>
      </w:pPr>
    </w:p>
    <w:p w14:paraId="551AB38C"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other people are, or may be, at risk, including </w:t>
      </w:r>
      <w:proofErr w:type="gramStart"/>
      <w:r w:rsidRPr="003A5B2D">
        <w:rPr>
          <w:rFonts w:eastAsia="Aptos" w:cs="Arial"/>
          <w:kern w:val="2"/>
          <w:sz w:val="22"/>
          <w14:ligatures w14:val="standardContextual"/>
        </w:rPr>
        <w:t>children;</w:t>
      </w:r>
      <w:proofErr w:type="gramEnd"/>
    </w:p>
    <w:p w14:paraId="7C66DB9F" w14:textId="77777777" w:rsidR="00CC3477" w:rsidRPr="003A5B2D" w:rsidRDefault="00CC3477" w:rsidP="00CC3477">
      <w:pPr>
        <w:spacing w:after="160" w:line="259" w:lineRule="auto"/>
        <w:ind w:left="1164"/>
        <w:contextualSpacing/>
        <w:jc w:val="left"/>
        <w:rPr>
          <w:rFonts w:eastAsia="Aptos" w:cs="Arial"/>
          <w:kern w:val="2"/>
          <w:sz w:val="22"/>
          <w14:ligatures w14:val="standardContextual"/>
        </w:rPr>
      </w:pPr>
    </w:p>
    <w:p w14:paraId="110453D5"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 sharing the information could prevent a </w:t>
      </w:r>
      <w:proofErr w:type="gramStart"/>
      <w:r w:rsidRPr="003A5B2D">
        <w:rPr>
          <w:rFonts w:eastAsia="Aptos" w:cs="Arial"/>
          <w:kern w:val="2"/>
          <w:sz w:val="22"/>
          <w14:ligatures w14:val="standardContextual"/>
        </w:rPr>
        <w:t>crime;</w:t>
      </w:r>
      <w:proofErr w:type="gramEnd"/>
    </w:p>
    <w:p w14:paraId="6E10C999" w14:textId="77777777" w:rsidR="00CC3477" w:rsidRPr="003A5B2D" w:rsidRDefault="00CC3477" w:rsidP="00CC3477">
      <w:pPr>
        <w:spacing w:after="160" w:line="259" w:lineRule="auto"/>
        <w:ind w:left="1164"/>
        <w:contextualSpacing/>
        <w:jc w:val="left"/>
        <w:rPr>
          <w:rFonts w:eastAsia="Aptos" w:cs="Arial"/>
          <w:kern w:val="2"/>
          <w:sz w:val="22"/>
          <w14:ligatures w14:val="standardContextual"/>
        </w:rPr>
      </w:pPr>
    </w:p>
    <w:p w14:paraId="1512EDC4"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the alleged abuser has care and support needs and may also be at </w:t>
      </w:r>
      <w:proofErr w:type="gramStart"/>
      <w:r w:rsidRPr="003A5B2D">
        <w:rPr>
          <w:rFonts w:eastAsia="Aptos" w:cs="Arial"/>
          <w:kern w:val="2"/>
          <w:sz w:val="22"/>
          <w14:ligatures w14:val="standardContextual"/>
        </w:rPr>
        <w:t>risk;</w:t>
      </w:r>
      <w:proofErr w:type="gramEnd"/>
    </w:p>
    <w:p w14:paraId="1238435C" w14:textId="77777777" w:rsidR="00CC3477" w:rsidRPr="003A5B2D" w:rsidRDefault="00CC3477" w:rsidP="00CC3477">
      <w:pPr>
        <w:spacing w:after="160" w:line="259" w:lineRule="auto"/>
        <w:ind w:left="1164"/>
        <w:contextualSpacing/>
        <w:jc w:val="left"/>
        <w:rPr>
          <w:rFonts w:eastAsia="Aptos" w:cs="Arial"/>
          <w:kern w:val="2"/>
          <w:sz w:val="22"/>
          <w14:ligatures w14:val="standardContextual"/>
        </w:rPr>
      </w:pPr>
    </w:p>
    <w:p w14:paraId="137CDB05"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a serious crime has been </w:t>
      </w:r>
      <w:proofErr w:type="gramStart"/>
      <w:r w:rsidRPr="003A5B2D">
        <w:rPr>
          <w:rFonts w:eastAsia="Aptos" w:cs="Arial"/>
          <w:kern w:val="2"/>
          <w:sz w:val="22"/>
          <w14:ligatures w14:val="standardContextual"/>
        </w:rPr>
        <w:t>committed;</w:t>
      </w:r>
      <w:proofErr w:type="gramEnd"/>
    </w:p>
    <w:p w14:paraId="37EB03F1" w14:textId="77777777" w:rsidR="00CC3477" w:rsidRPr="003A5B2D" w:rsidRDefault="00CC3477" w:rsidP="00CC3477">
      <w:pPr>
        <w:spacing w:after="160" w:line="259" w:lineRule="auto"/>
        <w:ind w:left="1164"/>
        <w:contextualSpacing/>
        <w:jc w:val="left"/>
        <w:rPr>
          <w:rFonts w:eastAsia="Aptos" w:cs="Arial"/>
          <w:kern w:val="2"/>
          <w:sz w:val="22"/>
          <w14:ligatures w14:val="standardContextual"/>
        </w:rPr>
      </w:pPr>
    </w:p>
    <w:p w14:paraId="4E030612"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the adult has the mental capacity to make that decision, but they may be under duress or being </w:t>
      </w:r>
      <w:proofErr w:type="gramStart"/>
      <w:r w:rsidRPr="003A5B2D">
        <w:rPr>
          <w:rFonts w:eastAsia="Aptos" w:cs="Arial"/>
          <w:kern w:val="2"/>
          <w:sz w:val="22"/>
          <w14:ligatures w14:val="standardContextual"/>
        </w:rPr>
        <w:t>coerced;</w:t>
      </w:r>
      <w:proofErr w:type="gramEnd"/>
    </w:p>
    <w:p w14:paraId="650CD25A" w14:textId="77777777" w:rsidR="00CC3477" w:rsidRPr="003A5B2D" w:rsidRDefault="00CC3477" w:rsidP="00CC3477">
      <w:pPr>
        <w:spacing w:after="160" w:line="259" w:lineRule="auto"/>
        <w:ind w:left="1164"/>
        <w:contextualSpacing/>
        <w:jc w:val="left"/>
        <w:rPr>
          <w:rFonts w:eastAsia="Aptos" w:cs="Arial"/>
          <w:kern w:val="2"/>
          <w:sz w:val="22"/>
          <w14:ligatures w14:val="standardContextual"/>
        </w:rPr>
      </w:pPr>
    </w:p>
    <w:p w14:paraId="37EEC387"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 the risk is unreasonably high and meets the criteria for a multi-agency risk assessment conference referral; and/or</w:t>
      </w:r>
    </w:p>
    <w:p w14:paraId="5DCFDD0B" w14:textId="77777777" w:rsidR="00CC3477" w:rsidRPr="003A5B2D" w:rsidRDefault="00CC3477" w:rsidP="00CC3477">
      <w:pPr>
        <w:spacing w:after="160" w:line="259" w:lineRule="auto"/>
        <w:ind w:left="1164"/>
        <w:contextualSpacing/>
        <w:jc w:val="left"/>
        <w:rPr>
          <w:rFonts w:eastAsia="Aptos" w:cs="Arial"/>
          <w:kern w:val="2"/>
          <w:sz w:val="22"/>
          <w14:ligatures w14:val="standardContextual"/>
        </w:rPr>
      </w:pPr>
    </w:p>
    <w:p w14:paraId="0A5FE862" w14:textId="77777777" w:rsidR="00CC3477" w:rsidRPr="003A5B2D" w:rsidRDefault="00CC3477" w:rsidP="00CC3477">
      <w:pPr>
        <w:numPr>
          <w:ilvl w:val="1"/>
          <w:numId w:val="46"/>
        </w:numPr>
        <w:spacing w:after="160" w:line="259" w:lineRule="auto"/>
        <w:ind w:left="709" w:hanging="425"/>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a court order or other legal authority has requested the information. </w:t>
      </w:r>
    </w:p>
    <w:p w14:paraId="1C62B4F8" w14:textId="77777777" w:rsidR="00CC3477" w:rsidRPr="003A5B2D" w:rsidRDefault="00CC3477" w:rsidP="00CC3477">
      <w:pPr>
        <w:spacing w:after="160" w:line="259" w:lineRule="auto"/>
        <w:ind w:left="1164"/>
        <w:contextualSpacing/>
        <w:jc w:val="left"/>
        <w:rPr>
          <w:rFonts w:eastAsia="Aptos" w:cs="Arial"/>
          <w:kern w:val="2"/>
          <w:sz w:val="22"/>
          <w14:ligatures w14:val="standardContextual"/>
        </w:rPr>
      </w:pPr>
    </w:p>
    <w:p w14:paraId="11C55EDF" w14:textId="77777777" w:rsidR="00CC3477" w:rsidRPr="003A5B2D" w:rsidRDefault="00CC3477" w:rsidP="00CC3477">
      <w:pPr>
        <w:numPr>
          <w:ilvl w:val="0"/>
          <w:numId w:val="46"/>
        </w:numPr>
        <w:spacing w:after="160" w:line="259" w:lineRule="auto"/>
        <w:ind w:left="426" w:hanging="284"/>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 Investigate the matter further in accordance with its internal policies. In deciding whether to investigate in such circumstances, Bloomsbury Institute will consider, for example, the seriousness of the incident or where multiple allegations have been made against an individual.</w:t>
      </w:r>
    </w:p>
    <w:p w14:paraId="5BD53D25" w14:textId="77777777" w:rsidR="00CC3477" w:rsidRPr="003A5B2D" w:rsidRDefault="00CC3477" w:rsidP="00CC3477">
      <w:pPr>
        <w:spacing w:after="160" w:line="259" w:lineRule="auto"/>
        <w:ind w:left="804"/>
        <w:contextualSpacing/>
        <w:jc w:val="left"/>
        <w:rPr>
          <w:rFonts w:eastAsia="Aptos" w:cs="Arial"/>
          <w:kern w:val="2"/>
          <w:sz w:val="22"/>
          <w14:ligatures w14:val="standardContextual"/>
        </w:rPr>
      </w:pPr>
    </w:p>
    <w:p w14:paraId="1E978DC2" w14:textId="77777777" w:rsidR="00CC3477" w:rsidRPr="003A5B2D" w:rsidRDefault="00CC3477" w:rsidP="00CC3477">
      <w:pPr>
        <w:spacing w:after="160" w:line="259" w:lineRule="auto"/>
        <w:contextualSpacing/>
        <w:jc w:val="left"/>
        <w:rPr>
          <w:rFonts w:eastAsia="Aptos" w:cs="Arial"/>
          <w:kern w:val="2"/>
          <w:sz w:val="22"/>
          <w14:ligatures w14:val="standardContextual"/>
        </w:rPr>
      </w:pPr>
      <w:r w:rsidRPr="003A5B2D">
        <w:rPr>
          <w:rFonts w:eastAsia="Aptos" w:cs="Arial"/>
          <w:b/>
          <w:bCs/>
          <w:kern w:val="2"/>
          <w:sz w:val="22"/>
          <w14:ligatures w14:val="standardContextual"/>
        </w:rPr>
        <w:t>An allegation about behaviour by a staff member or student towards another staff member or student over the age of 18. Bloomsbury Institute may need to do the following:</w:t>
      </w:r>
    </w:p>
    <w:p w14:paraId="372612BC" w14:textId="77777777" w:rsidR="00CC3477" w:rsidRPr="003A5B2D" w:rsidRDefault="00CC3477" w:rsidP="00CC3477">
      <w:pPr>
        <w:spacing w:after="160" w:line="259" w:lineRule="auto"/>
        <w:ind w:left="804"/>
        <w:contextualSpacing/>
        <w:jc w:val="left"/>
        <w:rPr>
          <w:rFonts w:eastAsia="Aptos" w:cs="Arial"/>
          <w:kern w:val="2"/>
          <w:sz w:val="22"/>
          <w14:ligatures w14:val="standardContextual"/>
        </w:rPr>
      </w:pPr>
    </w:p>
    <w:p w14:paraId="4AA9862C" w14:textId="77777777" w:rsidR="00CC3477" w:rsidRPr="003A5B2D" w:rsidRDefault="00CC3477" w:rsidP="00CC3477">
      <w:pPr>
        <w:numPr>
          <w:ilvl w:val="0"/>
          <w:numId w:val="47"/>
        </w:numPr>
        <w:spacing w:after="160" w:line="259" w:lineRule="auto"/>
        <w:ind w:left="426" w:hanging="284"/>
        <w:contextualSpacing/>
        <w:jc w:val="left"/>
        <w:rPr>
          <w:rFonts w:eastAsia="Aptos" w:cs="Arial"/>
          <w:kern w:val="2"/>
          <w:sz w:val="22"/>
          <w14:ligatures w14:val="standardContextual"/>
        </w:rPr>
      </w:pPr>
      <w:r w:rsidRPr="003A5B2D">
        <w:rPr>
          <w:rFonts w:eastAsia="Aptos" w:cs="Arial"/>
          <w:kern w:val="2"/>
          <w:sz w:val="22"/>
          <w14:ligatures w14:val="standardContextual"/>
        </w:rPr>
        <w:t>Report the matter to the police including if a crime is in progress, has occurred or may occur, or life is at risk.</w:t>
      </w:r>
    </w:p>
    <w:p w14:paraId="648D1196" w14:textId="77777777" w:rsidR="00CC3477" w:rsidRPr="003A5B2D" w:rsidRDefault="00CC3477" w:rsidP="00CC3477">
      <w:pPr>
        <w:spacing w:after="160" w:line="259" w:lineRule="auto"/>
        <w:ind w:left="1164"/>
        <w:contextualSpacing/>
        <w:jc w:val="left"/>
        <w:rPr>
          <w:rFonts w:eastAsia="Aptos" w:cs="Arial"/>
          <w:kern w:val="2"/>
          <w:sz w:val="22"/>
          <w14:ligatures w14:val="standardContextual"/>
        </w:rPr>
      </w:pPr>
    </w:p>
    <w:p w14:paraId="12E88BE6" w14:textId="77777777" w:rsidR="00CC3477" w:rsidRPr="003A5B2D" w:rsidRDefault="00CC3477" w:rsidP="00CC3477">
      <w:pPr>
        <w:numPr>
          <w:ilvl w:val="0"/>
          <w:numId w:val="47"/>
        </w:numPr>
        <w:spacing w:after="160" w:line="259" w:lineRule="auto"/>
        <w:ind w:left="426" w:hanging="284"/>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 Refer the matter to the police on a “no names” basis or on a case-by-case basis on a named basis, including if there if there is a risk to safety or well-being of the complainant. On a case-by-case basis, Bloomsbury Institute may report the name of the subject of the complaint to the police for example, where an allegation of serious sexual assault has been made.</w:t>
      </w:r>
    </w:p>
    <w:p w14:paraId="7E4BB950" w14:textId="77777777" w:rsidR="00CC3477" w:rsidRPr="003A5B2D" w:rsidRDefault="00CC3477" w:rsidP="00CC3477">
      <w:pPr>
        <w:spacing w:after="160" w:line="259" w:lineRule="auto"/>
        <w:ind w:left="720"/>
        <w:contextualSpacing/>
        <w:jc w:val="left"/>
        <w:rPr>
          <w:rFonts w:eastAsia="Aptos" w:cs="Arial"/>
          <w:kern w:val="2"/>
          <w:sz w:val="22"/>
          <w14:ligatures w14:val="standardContextual"/>
        </w:rPr>
      </w:pPr>
    </w:p>
    <w:p w14:paraId="3A112C32" w14:textId="77777777" w:rsidR="00CC3477" w:rsidRPr="003A5B2D" w:rsidRDefault="00CC3477" w:rsidP="00CC3477">
      <w:pPr>
        <w:numPr>
          <w:ilvl w:val="0"/>
          <w:numId w:val="47"/>
        </w:numPr>
        <w:spacing w:after="160" w:line="259" w:lineRule="auto"/>
        <w:ind w:left="426" w:hanging="314"/>
        <w:contextualSpacing/>
        <w:jc w:val="left"/>
        <w:rPr>
          <w:rFonts w:eastAsia="Aptos" w:cs="Arial"/>
          <w:kern w:val="2"/>
          <w:sz w:val="22"/>
          <w14:ligatures w14:val="standardContextual"/>
        </w:rPr>
      </w:pPr>
      <w:r w:rsidRPr="003A5B2D">
        <w:rPr>
          <w:rFonts w:eastAsia="Aptos" w:cs="Arial"/>
          <w:kern w:val="2"/>
          <w:sz w:val="22"/>
          <w14:ligatures w14:val="standardContextual"/>
        </w:rPr>
        <w:t xml:space="preserve">Investigate the matter further in accordance with its internal policies. In deciding whether to investigate in such circumstances, Bloomsbury Institute will consider, for example, the seriousness of the incident or where multiple allegations have been made against an individual.  </w:t>
      </w:r>
    </w:p>
    <w:p w14:paraId="3FD95700" w14:textId="77777777" w:rsidR="00CC3477" w:rsidRPr="003A5B2D" w:rsidRDefault="00CC3477" w:rsidP="00CC3477">
      <w:pPr>
        <w:spacing w:after="160" w:line="259" w:lineRule="auto"/>
        <w:contextualSpacing/>
        <w:jc w:val="left"/>
        <w:rPr>
          <w:rFonts w:eastAsia="Aptos" w:cs="Arial"/>
          <w:b/>
          <w:bCs/>
          <w:kern w:val="2"/>
          <w:sz w:val="22"/>
          <w14:ligatures w14:val="standardContextual"/>
        </w:rPr>
      </w:pPr>
    </w:p>
    <w:p w14:paraId="0FEB76DE" w14:textId="77777777" w:rsidR="00CC3477" w:rsidRPr="003A5B2D" w:rsidRDefault="00CC3477" w:rsidP="00CC3477">
      <w:pPr>
        <w:spacing w:after="160" w:line="259" w:lineRule="auto"/>
        <w:contextualSpacing/>
        <w:jc w:val="left"/>
        <w:rPr>
          <w:rFonts w:eastAsia="Aptos" w:cs="Arial"/>
          <w:b/>
          <w:bCs/>
          <w:kern w:val="2"/>
          <w:sz w:val="22"/>
          <w14:ligatures w14:val="standardContextual"/>
        </w:rPr>
      </w:pPr>
      <w:r w:rsidRPr="003A5B2D">
        <w:rPr>
          <w:rFonts w:eastAsia="Aptos" w:cs="Arial"/>
          <w:b/>
          <w:bCs/>
          <w:kern w:val="2"/>
          <w:sz w:val="22"/>
          <w14:ligatures w14:val="standardContextual"/>
        </w:rPr>
        <w:t>Anonymous Reports</w:t>
      </w:r>
    </w:p>
    <w:p w14:paraId="573BCA49" w14:textId="77777777" w:rsidR="00CC3477" w:rsidRPr="003A5B2D" w:rsidRDefault="00CC3477" w:rsidP="00CC3477">
      <w:pPr>
        <w:spacing w:after="160" w:line="259" w:lineRule="auto"/>
        <w:ind w:left="1164"/>
        <w:contextualSpacing/>
        <w:jc w:val="left"/>
        <w:rPr>
          <w:rFonts w:eastAsia="Aptos" w:cs="Arial"/>
          <w:b/>
          <w:bCs/>
          <w:kern w:val="2"/>
          <w:sz w:val="22"/>
          <w14:ligatures w14:val="standardContextual"/>
        </w:rPr>
      </w:pPr>
    </w:p>
    <w:p w14:paraId="2BCC2FBB" w14:textId="77777777" w:rsidR="00CC3477" w:rsidRPr="003A5B2D" w:rsidRDefault="00CC3477" w:rsidP="00CC3477">
      <w:pPr>
        <w:spacing w:after="160" w:line="259" w:lineRule="auto"/>
        <w:contextualSpacing/>
        <w:jc w:val="left"/>
        <w:rPr>
          <w:rFonts w:eastAsia="Aptos" w:cs="Arial"/>
          <w:kern w:val="2"/>
          <w:sz w:val="22"/>
          <w14:ligatures w14:val="standardContextual"/>
        </w:rPr>
      </w:pPr>
      <w:r w:rsidRPr="003A5B2D">
        <w:rPr>
          <w:rFonts w:eastAsia="Aptos" w:cs="Arial"/>
          <w:kern w:val="2"/>
          <w:sz w:val="22"/>
          <w14:ligatures w14:val="standardContextual"/>
        </w:rPr>
        <w:t>If a report is received anonymously by Bloomsbury Institute, then we may decide to take any of the above actions on a “no names” basis.</w:t>
      </w:r>
    </w:p>
    <w:p w14:paraId="46EAF6FF" w14:textId="77777777" w:rsidR="008E3851" w:rsidRDefault="008E3851" w:rsidP="00CC3477">
      <w:pPr>
        <w:spacing w:after="160" w:line="259" w:lineRule="auto"/>
        <w:contextualSpacing/>
        <w:jc w:val="left"/>
        <w:rPr>
          <w:rFonts w:eastAsia="Aptos" w:cs="Arial"/>
          <w:b/>
          <w:bCs/>
          <w:kern w:val="2"/>
          <w:sz w:val="22"/>
          <w14:ligatures w14:val="standardContextual"/>
        </w:rPr>
      </w:pPr>
    </w:p>
    <w:p w14:paraId="143B922C" w14:textId="77777777" w:rsidR="001F68A9" w:rsidRDefault="001F68A9" w:rsidP="00CC3477">
      <w:pPr>
        <w:spacing w:after="160" w:line="259" w:lineRule="auto"/>
        <w:contextualSpacing/>
        <w:jc w:val="left"/>
        <w:rPr>
          <w:rFonts w:eastAsia="Aptos" w:cs="Arial"/>
          <w:b/>
          <w:bCs/>
          <w:kern w:val="2"/>
          <w:sz w:val="22"/>
          <w14:ligatures w14:val="standardContextual"/>
        </w:rPr>
      </w:pPr>
    </w:p>
    <w:p w14:paraId="1B704EEB" w14:textId="77777777" w:rsidR="001F68A9" w:rsidRDefault="001F68A9" w:rsidP="00CC3477">
      <w:pPr>
        <w:spacing w:after="160" w:line="259" w:lineRule="auto"/>
        <w:contextualSpacing/>
        <w:jc w:val="left"/>
        <w:rPr>
          <w:rFonts w:eastAsia="Aptos" w:cs="Arial"/>
          <w:b/>
          <w:bCs/>
          <w:kern w:val="2"/>
          <w:sz w:val="22"/>
          <w14:ligatures w14:val="standardContextual"/>
        </w:rPr>
      </w:pPr>
    </w:p>
    <w:p w14:paraId="4211341A" w14:textId="77777777" w:rsidR="001F68A9" w:rsidRDefault="001F68A9" w:rsidP="00CC3477">
      <w:pPr>
        <w:spacing w:after="160" w:line="259" w:lineRule="auto"/>
        <w:contextualSpacing/>
        <w:jc w:val="left"/>
        <w:rPr>
          <w:rFonts w:eastAsia="Aptos" w:cs="Arial"/>
          <w:b/>
          <w:bCs/>
          <w:kern w:val="2"/>
          <w:sz w:val="22"/>
          <w14:ligatures w14:val="standardContextual"/>
        </w:rPr>
      </w:pPr>
    </w:p>
    <w:p w14:paraId="0FFDD6D7" w14:textId="77777777" w:rsidR="00FF7FCA" w:rsidRDefault="00FF7FCA" w:rsidP="00CC3477">
      <w:pPr>
        <w:spacing w:after="160" w:line="259" w:lineRule="auto"/>
        <w:contextualSpacing/>
        <w:jc w:val="left"/>
        <w:rPr>
          <w:rFonts w:eastAsia="Aptos" w:cs="Arial"/>
          <w:b/>
          <w:bCs/>
          <w:kern w:val="2"/>
          <w:sz w:val="22"/>
          <w14:ligatures w14:val="standardContextual"/>
        </w:rPr>
      </w:pPr>
    </w:p>
    <w:p w14:paraId="4DCE5DC6" w14:textId="77777777" w:rsidR="001F68A9" w:rsidRDefault="001F68A9" w:rsidP="00CC3477">
      <w:pPr>
        <w:spacing w:after="160" w:line="259" w:lineRule="auto"/>
        <w:contextualSpacing/>
        <w:jc w:val="left"/>
        <w:rPr>
          <w:rFonts w:eastAsia="Aptos" w:cs="Arial"/>
          <w:b/>
          <w:bCs/>
          <w:kern w:val="2"/>
          <w:sz w:val="22"/>
          <w14:ligatures w14:val="standardContextual"/>
        </w:rPr>
      </w:pPr>
    </w:p>
    <w:p w14:paraId="3CE7EA30" w14:textId="2908B32C" w:rsidR="00CC3477" w:rsidRDefault="00CC3477" w:rsidP="00CC3477">
      <w:pPr>
        <w:spacing w:after="160" w:line="259" w:lineRule="auto"/>
        <w:contextualSpacing/>
        <w:jc w:val="left"/>
        <w:rPr>
          <w:rFonts w:eastAsia="Aptos" w:cs="Arial"/>
          <w:b/>
          <w:bCs/>
          <w:kern w:val="2"/>
          <w:sz w:val="22"/>
          <w14:ligatures w14:val="standardContextual"/>
        </w:rPr>
      </w:pPr>
      <w:r w:rsidRPr="003A5B2D">
        <w:rPr>
          <w:rFonts w:eastAsia="Aptos" w:cs="Arial"/>
          <w:b/>
          <w:bCs/>
          <w:kern w:val="2"/>
          <w:sz w:val="22"/>
          <w14:ligatures w14:val="standardContextual"/>
        </w:rPr>
        <w:lastRenderedPageBreak/>
        <w:t>Definitions</w:t>
      </w:r>
    </w:p>
    <w:p w14:paraId="4A76DD8B" w14:textId="77777777" w:rsidR="001F68A9" w:rsidRDefault="001F68A9" w:rsidP="00CC3477">
      <w:pPr>
        <w:spacing w:after="160" w:line="259" w:lineRule="auto"/>
        <w:contextualSpacing/>
        <w:jc w:val="left"/>
        <w:rPr>
          <w:rFonts w:eastAsia="Aptos" w:cs="Arial"/>
          <w:kern w:val="2"/>
          <w:sz w:val="22"/>
          <w14:ligatures w14:val="standardContextual"/>
        </w:rPr>
      </w:pPr>
    </w:p>
    <w:p w14:paraId="0BA3656A" w14:textId="1365FBBA" w:rsidR="00CC3477" w:rsidRPr="003A5B2D" w:rsidRDefault="00CC3477" w:rsidP="00CC3477">
      <w:pPr>
        <w:spacing w:after="160" w:line="259" w:lineRule="auto"/>
        <w:contextualSpacing/>
        <w:jc w:val="left"/>
        <w:rPr>
          <w:rFonts w:eastAsia="Aptos" w:cs="Arial"/>
          <w:kern w:val="2"/>
          <w:sz w:val="22"/>
          <w14:ligatures w14:val="standardContextual"/>
        </w:rPr>
      </w:pPr>
      <w:r w:rsidRPr="003A5B2D">
        <w:rPr>
          <w:rFonts w:eastAsia="Aptos" w:cs="Arial"/>
          <w:kern w:val="2"/>
          <w:sz w:val="22"/>
          <w14:ligatures w14:val="standardContextual"/>
        </w:rPr>
        <w:t>A “child” is anyone who has not yet reached their 18th birthday. The fact that a child has reached 16 years of age, is living independently or is in further education does not change their status or entitlements to services or protection.</w:t>
      </w:r>
    </w:p>
    <w:p w14:paraId="167658F8" w14:textId="77777777" w:rsidR="00CC3477" w:rsidRPr="003A5B2D" w:rsidRDefault="00CC3477" w:rsidP="00CC3477">
      <w:pPr>
        <w:spacing w:after="160" w:line="259" w:lineRule="auto"/>
        <w:contextualSpacing/>
        <w:jc w:val="left"/>
        <w:rPr>
          <w:rFonts w:eastAsia="Aptos" w:cs="Arial"/>
          <w:kern w:val="2"/>
          <w:sz w:val="22"/>
          <w14:ligatures w14:val="standardContextual"/>
        </w:rPr>
      </w:pPr>
    </w:p>
    <w:p w14:paraId="553FE42E" w14:textId="77777777" w:rsidR="00CC3477" w:rsidRPr="003A5B2D" w:rsidRDefault="00CC3477" w:rsidP="00CC3477">
      <w:pPr>
        <w:spacing w:after="160" w:line="259" w:lineRule="auto"/>
        <w:contextualSpacing/>
        <w:jc w:val="left"/>
        <w:rPr>
          <w:rFonts w:eastAsia="Aptos" w:cs="Arial"/>
          <w:kern w:val="2"/>
          <w:sz w:val="22"/>
          <w14:ligatures w14:val="standardContextual"/>
        </w:rPr>
      </w:pPr>
      <w:r w:rsidRPr="003A5B2D">
        <w:rPr>
          <w:rFonts w:eastAsia="Aptos" w:cs="Arial"/>
          <w:kern w:val="2"/>
          <w:sz w:val="22"/>
          <w14:ligatures w14:val="standardContextual"/>
        </w:rPr>
        <w:t>An "</w:t>
      </w:r>
      <w:r w:rsidRPr="003A5B2D">
        <w:rPr>
          <w:rFonts w:eastAsia="Aptos" w:cs="Arial"/>
          <w:b/>
          <w:bCs/>
          <w:kern w:val="2"/>
          <w:sz w:val="22"/>
          <w14:ligatures w14:val="standardContextual"/>
        </w:rPr>
        <w:t>adult with care and support needs" or “adult at risk</w:t>
      </w:r>
      <w:r w:rsidRPr="003A5B2D">
        <w:rPr>
          <w:rFonts w:eastAsia="Aptos" w:cs="Arial"/>
          <w:kern w:val="2"/>
          <w:sz w:val="22"/>
          <w14:ligatures w14:val="standardContextual"/>
        </w:rPr>
        <w:t>” – to whom safeguarding duties apply – is a person aged 18 or over who:</w:t>
      </w:r>
    </w:p>
    <w:p w14:paraId="0F219A7F" w14:textId="77777777" w:rsidR="00CC3477" w:rsidRPr="00D81813" w:rsidRDefault="00CC3477" w:rsidP="00CC3477">
      <w:pPr>
        <w:pStyle w:val="Bullet1"/>
        <w:rPr>
          <w:sz w:val="22"/>
        </w:rPr>
      </w:pPr>
      <w:r w:rsidRPr="00D81813">
        <w:rPr>
          <w:sz w:val="22"/>
        </w:rPr>
        <w:t>has needs for care and support (</w:t>
      </w:r>
      <w:proofErr w:type="gramStart"/>
      <w:r w:rsidRPr="00D81813">
        <w:rPr>
          <w:sz w:val="22"/>
        </w:rPr>
        <w:t>whether or not</w:t>
      </w:r>
      <w:proofErr w:type="gramEnd"/>
      <w:r w:rsidRPr="00D81813">
        <w:rPr>
          <w:sz w:val="22"/>
        </w:rPr>
        <w:t xml:space="preserve"> the local authority is meeting any of those needs</w:t>
      </w:r>
      <w:proofErr w:type="gramStart"/>
      <w:r w:rsidRPr="00D81813">
        <w:rPr>
          <w:sz w:val="22"/>
        </w:rPr>
        <w:t>);</w:t>
      </w:r>
      <w:proofErr w:type="gramEnd"/>
    </w:p>
    <w:p w14:paraId="1730AF30" w14:textId="77777777" w:rsidR="00CC3477" w:rsidRPr="00D81813" w:rsidRDefault="00CC3477" w:rsidP="00CC3477">
      <w:pPr>
        <w:pStyle w:val="Bullet1"/>
        <w:rPr>
          <w:sz w:val="22"/>
        </w:rPr>
      </w:pPr>
      <w:r w:rsidRPr="00D81813">
        <w:rPr>
          <w:sz w:val="22"/>
        </w:rPr>
        <w:t>is experiencing, or is at risk of, abuse or neglect; and</w:t>
      </w:r>
    </w:p>
    <w:p w14:paraId="41BD8EFE" w14:textId="77777777" w:rsidR="00CC3477" w:rsidRPr="00D81813" w:rsidRDefault="00CC3477" w:rsidP="00CC3477">
      <w:pPr>
        <w:pStyle w:val="Bullet1"/>
        <w:rPr>
          <w:sz w:val="22"/>
        </w:rPr>
      </w:pPr>
      <w:proofErr w:type="gramStart"/>
      <w:r w:rsidRPr="00D81813">
        <w:rPr>
          <w:sz w:val="22"/>
        </w:rPr>
        <w:t>as a result of</w:t>
      </w:r>
      <w:proofErr w:type="gramEnd"/>
      <w:r w:rsidRPr="00D81813">
        <w:rPr>
          <w:sz w:val="22"/>
        </w:rPr>
        <w:t xml:space="preserve"> those needs is unable to protect himself or herself against the abuse or neglect or the risk of it.</w:t>
      </w:r>
    </w:p>
    <w:p w14:paraId="202375D9" w14:textId="77777777" w:rsidR="00CC3477" w:rsidRPr="003A5B2D" w:rsidRDefault="00CC3477" w:rsidP="00CC3477">
      <w:pPr>
        <w:spacing w:after="160" w:line="259" w:lineRule="auto"/>
        <w:jc w:val="left"/>
        <w:rPr>
          <w:rFonts w:eastAsia="Aptos" w:cs="Arial"/>
          <w:kern w:val="2"/>
          <w:sz w:val="22"/>
          <w14:ligatures w14:val="standardContextual"/>
        </w:rPr>
      </w:pPr>
      <w:r w:rsidRPr="003A5B2D">
        <w:rPr>
          <w:rFonts w:eastAsia="Aptos" w:cs="Arial"/>
          <w:kern w:val="2"/>
          <w:sz w:val="22"/>
          <w14:ligatures w14:val="standardContextual"/>
        </w:rPr>
        <w:t>A “</w:t>
      </w:r>
      <w:r w:rsidRPr="003A5B2D">
        <w:rPr>
          <w:rFonts w:eastAsia="Aptos" w:cs="Arial"/>
          <w:b/>
          <w:bCs/>
          <w:kern w:val="2"/>
          <w:sz w:val="22"/>
          <w14:ligatures w14:val="standardContextual"/>
        </w:rPr>
        <w:t>safeguarding allegation relating to a child</w:t>
      </w:r>
      <w:r w:rsidRPr="003A5B2D">
        <w:rPr>
          <w:rFonts w:eastAsia="Aptos" w:cs="Arial"/>
          <w:kern w:val="2"/>
          <w:sz w:val="22"/>
          <w14:ligatures w14:val="standardContextual"/>
        </w:rPr>
        <w:t>” is an allegation that a person has:</w:t>
      </w:r>
    </w:p>
    <w:p w14:paraId="0B6CDBEE" w14:textId="77777777" w:rsidR="00CC3477" w:rsidRPr="00D81813" w:rsidRDefault="00CC3477" w:rsidP="00CC3477">
      <w:pPr>
        <w:pStyle w:val="Bullet1"/>
        <w:rPr>
          <w:sz w:val="22"/>
        </w:rPr>
      </w:pPr>
      <w:r w:rsidRPr="00D81813">
        <w:rPr>
          <w:sz w:val="22"/>
        </w:rPr>
        <w:t>behaved in a way that has harmed a child, or may have harmed a child</w:t>
      </w:r>
    </w:p>
    <w:p w14:paraId="6A3DE19F" w14:textId="77777777" w:rsidR="00CC3477" w:rsidRPr="00D81813" w:rsidRDefault="00CC3477" w:rsidP="00CC3477">
      <w:pPr>
        <w:pStyle w:val="Bullet1"/>
        <w:rPr>
          <w:sz w:val="22"/>
        </w:rPr>
      </w:pPr>
      <w:r w:rsidRPr="00D81813">
        <w:rPr>
          <w:sz w:val="22"/>
        </w:rPr>
        <w:t>possibly committed a criminal offence against or related to a child</w:t>
      </w:r>
    </w:p>
    <w:p w14:paraId="63057863" w14:textId="77777777" w:rsidR="00CC3477" w:rsidRDefault="00CC3477" w:rsidP="00CC3477">
      <w:pPr>
        <w:pStyle w:val="Bullet1"/>
        <w:rPr>
          <w:sz w:val="22"/>
        </w:rPr>
      </w:pPr>
      <w:r w:rsidRPr="00D81813">
        <w:rPr>
          <w:sz w:val="22"/>
        </w:rPr>
        <w:t xml:space="preserve">behaved towards a child or children in a way that indicates they may pose a risk of harm to children. </w:t>
      </w:r>
    </w:p>
    <w:p w14:paraId="1F46DF04" w14:textId="57DB0FAA" w:rsidR="001F68A9" w:rsidRDefault="001F68A9" w:rsidP="001F68A9">
      <w:pPr>
        <w:pStyle w:val="Heading1"/>
        <w:numPr>
          <w:ilvl w:val="0"/>
          <w:numId w:val="0"/>
        </w:numPr>
        <w:ind w:left="851" w:hanging="851"/>
      </w:pPr>
      <w:bookmarkStart w:id="3" w:name="_Toc201594183"/>
      <w:r>
        <w:t>Review</w:t>
      </w:r>
      <w:bookmarkEnd w:id="3"/>
    </w:p>
    <w:p w14:paraId="1771193A" w14:textId="4CC7CD7B" w:rsidR="001F68A9" w:rsidRPr="001F68A9" w:rsidRDefault="003117E7" w:rsidP="001F68A9">
      <w:r w:rsidRPr="003117E7">
        <w:t>This is Version 1 of the</w:t>
      </w:r>
      <w:r>
        <w:t xml:space="preserve"> Report and Support Services – Duty of Care Guidance.</w:t>
      </w:r>
      <w:r w:rsidR="007A20A9">
        <w:t xml:space="preserve"> Last updated: 2 July 2025. This document will be reviewed annually.</w:t>
      </w:r>
    </w:p>
    <w:p w14:paraId="191DD2F9" w14:textId="77777777" w:rsidR="00CC3477" w:rsidRDefault="00CC3477" w:rsidP="00964BB0"/>
    <w:p w14:paraId="097B1BAB" w14:textId="77777777" w:rsidR="008431BA" w:rsidRDefault="008431BA" w:rsidP="00964BB0"/>
    <w:p w14:paraId="22FEAD7D" w14:textId="77777777" w:rsidR="008431BA" w:rsidRDefault="008431BA" w:rsidP="00964BB0"/>
    <w:p w14:paraId="33D5F30B" w14:textId="77777777" w:rsidR="008431BA" w:rsidRDefault="008431BA" w:rsidP="00964BB0"/>
    <w:p w14:paraId="06892124" w14:textId="77777777" w:rsidR="008431BA" w:rsidRDefault="008431BA" w:rsidP="00964BB0"/>
    <w:p w14:paraId="1C27B2F6" w14:textId="77777777" w:rsidR="008431BA" w:rsidRDefault="008431BA" w:rsidP="00964BB0"/>
    <w:p w14:paraId="120BC0A6" w14:textId="77777777" w:rsidR="008431BA" w:rsidRDefault="008431BA" w:rsidP="00964BB0"/>
    <w:p w14:paraId="24914656" w14:textId="77777777" w:rsidR="008431BA" w:rsidRDefault="008431BA" w:rsidP="00964BB0"/>
    <w:p w14:paraId="7563BFBD" w14:textId="77777777" w:rsidR="008431BA" w:rsidRDefault="008431BA" w:rsidP="00964BB0"/>
    <w:p w14:paraId="6AB97C27" w14:textId="77777777" w:rsidR="008431BA" w:rsidRDefault="008431BA" w:rsidP="00964BB0"/>
    <w:p w14:paraId="79CAE95E" w14:textId="77777777" w:rsidR="008431BA" w:rsidRDefault="008431BA" w:rsidP="00964BB0"/>
    <w:p w14:paraId="3BE1FC2B" w14:textId="77777777" w:rsidR="008431BA" w:rsidRDefault="008431BA" w:rsidP="00964BB0"/>
    <w:p w14:paraId="2CA9A7F5" w14:textId="77777777" w:rsidR="008431BA" w:rsidRDefault="008431BA" w:rsidP="00964BB0"/>
    <w:p w14:paraId="3E088D71" w14:textId="77777777" w:rsidR="008431BA" w:rsidRDefault="008431BA" w:rsidP="00964BB0"/>
    <w:p w14:paraId="154FFE3B" w14:textId="77777777" w:rsidR="008431BA" w:rsidRDefault="008431BA" w:rsidP="00964BB0"/>
    <w:sectPr w:rsidR="008431BA" w:rsidSect="007715C7">
      <w:headerReference w:type="default" r:id="rId13"/>
      <w:footerReference w:type="default" r:id="rId14"/>
      <w:headerReference w:type="first" r:id="rId15"/>
      <w:pgSz w:w="11906" w:h="16838"/>
      <w:pgMar w:top="1134" w:right="1440" w:bottom="1440" w:left="1440"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66E04" w14:textId="77777777" w:rsidR="00723323" w:rsidRDefault="00723323" w:rsidP="00761C56">
      <w:r>
        <w:separator/>
      </w:r>
    </w:p>
  </w:endnote>
  <w:endnote w:type="continuationSeparator" w:id="0">
    <w:p w14:paraId="5A187B6B" w14:textId="77777777" w:rsidR="00723323" w:rsidRDefault="00723323" w:rsidP="0076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6749" w14:textId="17BA4BA6" w:rsidR="00063F7B" w:rsidRPr="00EC438D" w:rsidRDefault="00063F7B" w:rsidP="00D07C73">
    <w:pPr>
      <w:pStyle w:val="Footer"/>
      <w:tabs>
        <w:tab w:val="clear" w:pos="4513"/>
      </w:tabs>
      <w:ind w:left="0" w:firstLine="0"/>
      <w:rPr>
        <w:rFonts w:cs="Arial"/>
        <w:sz w:val="16"/>
        <w:szCs w:val="20"/>
      </w:rPr>
    </w:pPr>
    <w:r w:rsidRPr="00EC438D">
      <w:rPr>
        <w:rFonts w:eastAsia="Times New Roman" w:cs="Arial"/>
        <w:color w:val="000000"/>
        <w:sz w:val="16"/>
        <w:szCs w:val="20"/>
      </w:rPr>
      <w:tab/>
      <w:t xml:space="preserve">Page </w:t>
    </w:r>
    <w:r w:rsidRPr="00EC438D">
      <w:rPr>
        <w:rFonts w:eastAsia="Times New Roman" w:cs="Arial"/>
        <w:color w:val="000000"/>
        <w:sz w:val="16"/>
        <w:szCs w:val="20"/>
      </w:rPr>
      <w:fldChar w:fldCharType="begin"/>
    </w:r>
    <w:r w:rsidRPr="00EC438D">
      <w:rPr>
        <w:rFonts w:cs="Arial"/>
        <w:color w:val="000000"/>
        <w:sz w:val="16"/>
        <w:szCs w:val="20"/>
      </w:rPr>
      <w:instrText xml:space="preserve"> PAGE   \* MERGEFORMAT </w:instrText>
    </w:r>
    <w:r w:rsidRPr="00EC438D">
      <w:rPr>
        <w:rFonts w:eastAsia="Times New Roman" w:cs="Arial"/>
        <w:color w:val="000000"/>
        <w:sz w:val="16"/>
        <w:szCs w:val="20"/>
      </w:rPr>
      <w:fldChar w:fldCharType="separate"/>
    </w:r>
    <w:r w:rsidRPr="00454BFF">
      <w:rPr>
        <w:rFonts w:eastAsia="Times New Roman" w:cs="Arial"/>
        <w:noProof/>
        <w:color w:val="000000"/>
        <w:sz w:val="16"/>
        <w:szCs w:val="20"/>
      </w:rPr>
      <w:t>7</w:t>
    </w:r>
    <w:r w:rsidRPr="00EC438D">
      <w:rPr>
        <w:rFonts w:eastAsia="Times New Roman" w:cs="Arial"/>
        <w:noProof/>
        <w:color w:val="00000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3F225" w14:textId="77777777" w:rsidR="00723323" w:rsidRDefault="00723323" w:rsidP="00761C56">
      <w:r>
        <w:separator/>
      </w:r>
    </w:p>
  </w:footnote>
  <w:footnote w:type="continuationSeparator" w:id="0">
    <w:p w14:paraId="3FF133D1" w14:textId="77777777" w:rsidR="00723323" w:rsidRDefault="00723323" w:rsidP="0076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4842" w14:textId="77777777" w:rsidR="00063F7B" w:rsidRDefault="00063F7B">
    <w:pPr>
      <w:pStyle w:val="Header"/>
    </w:pPr>
  </w:p>
  <w:p w14:paraId="3923EE22" w14:textId="77777777" w:rsidR="00063F7B" w:rsidRDefault="00063F7B" w:rsidP="00A7258A">
    <w:pPr>
      <w:pStyle w:val="Header"/>
      <w:jc w:val="right"/>
    </w:pPr>
  </w:p>
  <w:p w14:paraId="3273663E" w14:textId="77777777" w:rsidR="00063F7B" w:rsidRDefault="00063F7B">
    <w:pPr>
      <w:pStyle w:val="Header"/>
    </w:pPr>
  </w:p>
  <w:p w14:paraId="102634D7" w14:textId="77777777" w:rsidR="00063F7B" w:rsidRDefault="00063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9ACD" w14:textId="77777777" w:rsidR="00382A37" w:rsidRDefault="00382A37">
    <w:pPr>
      <w:pStyle w:val="Header"/>
    </w:pPr>
    <w:r>
      <w:rPr>
        <w:noProof/>
      </w:rPr>
      <w:drawing>
        <wp:anchor distT="0" distB="0" distL="114300" distR="114300" simplePos="0" relativeHeight="251659264" behindDoc="1" locked="0" layoutInCell="1" allowOverlap="1" wp14:anchorId="37224C7F" wp14:editId="1228ACB2">
          <wp:simplePos x="0" y="0"/>
          <wp:positionH relativeFrom="page">
            <wp:align>left</wp:align>
          </wp:positionH>
          <wp:positionV relativeFrom="page">
            <wp:align>top</wp:align>
          </wp:positionV>
          <wp:extent cx="7707719" cy="10907395"/>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7719" cy="10907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A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74068"/>
    <w:multiLevelType w:val="hybridMultilevel"/>
    <w:tmpl w:val="1C3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C1247"/>
    <w:multiLevelType w:val="hybridMultilevel"/>
    <w:tmpl w:val="D3E0EFD0"/>
    <w:lvl w:ilvl="0" w:tplc="BE160088">
      <w:start w:val="1"/>
      <w:numFmt w:val="decimal"/>
      <w:lvlText w:val="%1."/>
      <w:lvlJc w:val="left"/>
      <w:pPr>
        <w:ind w:left="444" w:hanging="360"/>
      </w:pPr>
      <w:rPr>
        <w:rFonts w:hint="default"/>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abstractNum w:abstractNumId="3"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131073C4"/>
    <w:multiLevelType w:val="hybridMultilevel"/>
    <w:tmpl w:val="F03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D02BF"/>
    <w:multiLevelType w:val="hybridMultilevel"/>
    <w:tmpl w:val="0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439E8"/>
    <w:multiLevelType w:val="hybridMultilevel"/>
    <w:tmpl w:val="ED20847A"/>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30421C"/>
    <w:multiLevelType w:val="hybridMultilevel"/>
    <w:tmpl w:val="A3C8B452"/>
    <w:lvl w:ilvl="0" w:tplc="6DACFE14">
      <w:start w:val="1"/>
      <w:numFmt w:val="bullet"/>
      <w:pStyle w:val="Bullet1"/>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8E008D"/>
    <w:multiLevelType w:val="hybridMultilevel"/>
    <w:tmpl w:val="B1CC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F0C85"/>
    <w:multiLevelType w:val="hybridMultilevel"/>
    <w:tmpl w:val="01D0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9E1EC3"/>
    <w:multiLevelType w:val="multilevel"/>
    <w:tmpl w:val="2814E3E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3" w15:restartNumberingAfterBreak="0">
    <w:nsid w:val="367C63AF"/>
    <w:multiLevelType w:val="hybridMultilevel"/>
    <w:tmpl w:val="6C846BD0"/>
    <w:lvl w:ilvl="0" w:tplc="3FD4285C">
      <w:start w:val="1"/>
      <w:numFmt w:val="bullet"/>
      <w:pStyle w:val="BulletList"/>
      <w:lvlText w:val=""/>
      <w:lvlJc w:val="left"/>
      <w:pPr>
        <w:ind w:left="4407" w:hanging="360"/>
      </w:pPr>
      <w:rPr>
        <w:rFonts w:ascii="Symbol" w:hAnsi="Symbol" w:hint="default"/>
      </w:rPr>
    </w:lvl>
    <w:lvl w:ilvl="1" w:tplc="7F28984A">
      <w:start w:val="1"/>
      <w:numFmt w:val="bullet"/>
      <w:pStyle w:val="Bullet2"/>
      <w:lvlText w:val="o"/>
      <w:lvlJc w:val="left"/>
      <w:pPr>
        <w:ind w:left="5127" w:hanging="360"/>
      </w:pPr>
      <w:rPr>
        <w:rFonts w:ascii="Courier New" w:hAnsi="Courier New" w:cs="Courier New" w:hint="default"/>
      </w:rPr>
    </w:lvl>
    <w:lvl w:ilvl="2" w:tplc="08090005">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14" w15:restartNumberingAfterBreak="0">
    <w:nsid w:val="36813734"/>
    <w:multiLevelType w:val="hybridMultilevel"/>
    <w:tmpl w:val="F94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F4B8B"/>
    <w:multiLevelType w:val="hybridMultilevel"/>
    <w:tmpl w:val="AA8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65D4B"/>
    <w:multiLevelType w:val="hybridMultilevel"/>
    <w:tmpl w:val="D4044DEC"/>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A63A86"/>
    <w:multiLevelType w:val="hybridMultilevel"/>
    <w:tmpl w:val="CDF0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83325"/>
    <w:multiLevelType w:val="multilevel"/>
    <w:tmpl w:val="5CF6D36A"/>
    <w:lvl w:ilvl="0">
      <w:start w:val="1"/>
      <w:numFmt w:val="decimal"/>
      <w:lvlText w:val="%1."/>
      <w:lvlJc w:val="left"/>
      <w:pPr>
        <w:ind w:left="804" w:hanging="360"/>
      </w:pPr>
      <w:rPr>
        <w:rFonts w:hint="default"/>
      </w:rPr>
    </w:lvl>
    <w:lvl w:ilvl="1">
      <w:start w:val="1"/>
      <w:numFmt w:val="decimal"/>
      <w:isLgl/>
      <w:lvlText w:val="%1.%2"/>
      <w:lvlJc w:val="left"/>
      <w:pPr>
        <w:ind w:left="1164" w:hanging="360"/>
      </w:pPr>
      <w:rPr>
        <w:rFonts w:hint="default"/>
      </w:rPr>
    </w:lvl>
    <w:lvl w:ilvl="2">
      <w:start w:val="1"/>
      <w:numFmt w:val="decimal"/>
      <w:isLgl/>
      <w:lvlText w:val="%1.%2.%3"/>
      <w:lvlJc w:val="left"/>
      <w:pPr>
        <w:ind w:left="1884"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64" w:hanging="1080"/>
      </w:pPr>
      <w:rPr>
        <w:rFonts w:hint="default"/>
      </w:rPr>
    </w:lvl>
    <w:lvl w:ilvl="5">
      <w:start w:val="1"/>
      <w:numFmt w:val="decimal"/>
      <w:isLgl/>
      <w:lvlText w:val="%1.%2.%3.%4.%5.%6"/>
      <w:lvlJc w:val="left"/>
      <w:pPr>
        <w:ind w:left="3324"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404" w:hanging="1440"/>
      </w:pPr>
      <w:rPr>
        <w:rFonts w:hint="default"/>
      </w:rPr>
    </w:lvl>
    <w:lvl w:ilvl="8">
      <w:start w:val="1"/>
      <w:numFmt w:val="decimal"/>
      <w:isLgl/>
      <w:lvlText w:val="%1.%2.%3.%4.%5.%6.%7.%8.%9"/>
      <w:lvlJc w:val="left"/>
      <w:pPr>
        <w:ind w:left="5124" w:hanging="1800"/>
      </w:pPr>
      <w:rPr>
        <w:rFonts w:hint="default"/>
      </w:rPr>
    </w:lvl>
  </w:abstractNum>
  <w:abstractNum w:abstractNumId="20" w15:restartNumberingAfterBreak="0">
    <w:nsid w:val="53930544"/>
    <w:multiLevelType w:val="hybridMultilevel"/>
    <w:tmpl w:val="5E04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6255DE"/>
    <w:multiLevelType w:val="hybridMultilevel"/>
    <w:tmpl w:val="C178C422"/>
    <w:lvl w:ilvl="0" w:tplc="4B44FFE0">
      <w:start w:val="1"/>
      <w:numFmt w:val="decimal"/>
      <w:lvlText w:val="%1."/>
      <w:lvlJc w:val="left"/>
      <w:pPr>
        <w:ind w:left="1164" w:hanging="360"/>
      </w:pPr>
      <w:rPr>
        <w:rFonts w:hint="default"/>
      </w:rPr>
    </w:lvl>
    <w:lvl w:ilvl="1" w:tplc="08090019" w:tentative="1">
      <w:start w:val="1"/>
      <w:numFmt w:val="lowerLetter"/>
      <w:lvlText w:val="%2."/>
      <w:lvlJc w:val="left"/>
      <w:pPr>
        <w:ind w:left="1884" w:hanging="360"/>
      </w:pPr>
    </w:lvl>
    <w:lvl w:ilvl="2" w:tplc="0809001B" w:tentative="1">
      <w:start w:val="1"/>
      <w:numFmt w:val="lowerRoman"/>
      <w:lvlText w:val="%3."/>
      <w:lvlJc w:val="right"/>
      <w:pPr>
        <w:ind w:left="2604" w:hanging="180"/>
      </w:pPr>
    </w:lvl>
    <w:lvl w:ilvl="3" w:tplc="0809000F" w:tentative="1">
      <w:start w:val="1"/>
      <w:numFmt w:val="decimal"/>
      <w:lvlText w:val="%4."/>
      <w:lvlJc w:val="left"/>
      <w:pPr>
        <w:ind w:left="3324" w:hanging="360"/>
      </w:pPr>
    </w:lvl>
    <w:lvl w:ilvl="4" w:tplc="08090019" w:tentative="1">
      <w:start w:val="1"/>
      <w:numFmt w:val="lowerLetter"/>
      <w:lvlText w:val="%5."/>
      <w:lvlJc w:val="left"/>
      <w:pPr>
        <w:ind w:left="4044" w:hanging="360"/>
      </w:pPr>
    </w:lvl>
    <w:lvl w:ilvl="5" w:tplc="0809001B" w:tentative="1">
      <w:start w:val="1"/>
      <w:numFmt w:val="lowerRoman"/>
      <w:lvlText w:val="%6."/>
      <w:lvlJc w:val="right"/>
      <w:pPr>
        <w:ind w:left="4764" w:hanging="180"/>
      </w:pPr>
    </w:lvl>
    <w:lvl w:ilvl="6" w:tplc="0809000F" w:tentative="1">
      <w:start w:val="1"/>
      <w:numFmt w:val="decimal"/>
      <w:lvlText w:val="%7."/>
      <w:lvlJc w:val="left"/>
      <w:pPr>
        <w:ind w:left="5484" w:hanging="360"/>
      </w:pPr>
    </w:lvl>
    <w:lvl w:ilvl="7" w:tplc="08090019" w:tentative="1">
      <w:start w:val="1"/>
      <w:numFmt w:val="lowerLetter"/>
      <w:lvlText w:val="%8."/>
      <w:lvlJc w:val="left"/>
      <w:pPr>
        <w:ind w:left="6204" w:hanging="360"/>
      </w:pPr>
    </w:lvl>
    <w:lvl w:ilvl="8" w:tplc="0809001B" w:tentative="1">
      <w:start w:val="1"/>
      <w:numFmt w:val="lowerRoman"/>
      <w:lvlText w:val="%9."/>
      <w:lvlJc w:val="right"/>
      <w:pPr>
        <w:ind w:left="6924" w:hanging="180"/>
      </w:pPr>
    </w:lvl>
  </w:abstractNum>
  <w:abstractNum w:abstractNumId="22" w15:restartNumberingAfterBreak="0">
    <w:nsid w:val="5E082B64"/>
    <w:multiLevelType w:val="hybridMultilevel"/>
    <w:tmpl w:val="B2F4C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401F69"/>
    <w:multiLevelType w:val="hybridMultilevel"/>
    <w:tmpl w:val="860CE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B844A5"/>
    <w:multiLevelType w:val="hybridMultilevel"/>
    <w:tmpl w:val="63A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A46AFC"/>
    <w:multiLevelType w:val="hybridMultilevel"/>
    <w:tmpl w:val="08C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7" w15:restartNumberingAfterBreak="0">
    <w:nsid w:val="735025AB"/>
    <w:multiLevelType w:val="hybridMultilevel"/>
    <w:tmpl w:val="756C3578"/>
    <w:lvl w:ilvl="0" w:tplc="41ACE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F5E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D370A8"/>
    <w:multiLevelType w:val="hybridMultilevel"/>
    <w:tmpl w:val="81529E26"/>
    <w:lvl w:ilvl="0" w:tplc="22B00FCC">
      <w:start w:val="1"/>
      <w:numFmt w:val="bullet"/>
      <w:pStyle w:val="ListParagraph"/>
      <w:lvlText w:val=""/>
      <w:lvlJc w:val="left"/>
      <w:pPr>
        <w:ind w:left="587" w:hanging="360"/>
      </w:pPr>
      <w:rPr>
        <w:rFonts w:ascii="Symbol" w:hAnsi="Symbol" w:hint="default"/>
      </w:rPr>
    </w:lvl>
    <w:lvl w:ilvl="1" w:tplc="08090003">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31" w15:restartNumberingAfterBreak="0">
    <w:nsid w:val="7CFA6259"/>
    <w:multiLevelType w:val="hybridMultilevel"/>
    <w:tmpl w:val="6C1600E2"/>
    <w:lvl w:ilvl="0" w:tplc="04090001">
      <w:start w:val="1"/>
      <w:numFmt w:val="bullet"/>
      <w:lvlText w:val=""/>
      <w:lvlJc w:val="left"/>
      <w:pPr>
        <w:ind w:left="2859" w:hanging="360"/>
      </w:pPr>
      <w:rPr>
        <w:rFonts w:ascii="Symbol" w:hAnsi="Symbol" w:hint="default"/>
      </w:rPr>
    </w:lvl>
    <w:lvl w:ilvl="1" w:tplc="04090003" w:tentative="1">
      <w:start w:val="1"/>
      <w:numFmt w:val="bullet"/>
      <w:lvlText w:val="o"/>
      <w:lvlJc w:val="left"/>
      <w:pPr>
        <w:ind w:left="3579" w:hanging="360"/>
      </w:pPr>
      <w:rPr>
        <w:rFonts w:ascii="Courier New" w:hAnsi="Courier New" w:hint="default"/>
      </w:rPr>
    </w:lvl>
    <w:lvl w:ilvl="2" w:tplc="04090005" w:tentative="1">
      <w:start w:val="1"/>
      <w:numFmt w:val="bullet"/>
      <w:lvlText w:val=""/>
      <w:lvlJc w:val="left"/>
      <w:pPr>
        <w:ind w:left="4299" w:hanging="360"/>
      </w:pPr>
      <w:rPr>
        <w:rFonts w:ascii="Wingdings" w:hAnsi="Wingdings" w:hint="default"/>
      </w:rPr>
    </w:lvl>
    <w:lvl w:ilvl="3" w:tplc="04090001" w:tentative="1">
      <w:start w:val="1"/>
      <w:numFmt w:val="bullet"/>
      <w:lvlText w:val=""/>
      <w:lvlJc w:val="left"/>
      <w:pPr>
        <w:ind w:left="5019" w:hanging="360"/>
      </w:pPr>
      <w:rPr>
        <w:rFonts w:ascii="Symbol" w:hAnsi="Symbol" w:hint="default"/>
      </w:rPr>
    </w:lvl>
    <w:lvl w:ilvl="4" w:tplc="04090003" w:tentative="1">
      <w:start w:val="1"/>
      <w:numFmt w:val="bullet"/>
      <w:lvlText w:val="o"/>
      <w:lvlJc w:val="left"/>
      <w:pPr>
        <w:ind w:left="5739" w:hanging="360"/>
      </w:pPr>
      <w:rPr>
        <w:rFonts w:ascii="Courier New" w:hAnsi="Courier New" w:hint="default"/>
      </w:rPr>
    </w:lvl>
    <w:lvl w:ilvl="5" w:tplc="04090005" w:tentative="1">
      <w:start w:val="1"/>
      <w:numFmt w:val="bullet"/>
      <w:lvlText w:val=""/>
      <w:lvlJc w:val="left"/>
      <w:pPr>
        <w:ind w:left="6459" w:hanging="360"/>
      </w:pPr>
      <w:rPr>
        <w:rFonts w:ascii="Wingdings" w:hAnsi="Wingdings" w:hint="default"/>
      </w:rPr>
    </w:lvl>
    <w:lvl w:ilvl="6" w:tplc="04090001" w:tentative="1">
      <w:start w:val="1"/>
      <w:numFmt w:val="bullet"/>
      <w:lvlText w:val=""/>
      <w:lvlJc w:val="left"/>
      <w:pPr>
        <w:ind w:left="7179" w:hanging="360"/>
      </w:pPr>
      <w:rPr>
        <w:rFonts w:ascii="Symbol" w:hAnsi="Symbol" w:hint="default"/>
      </w:rPr>
    </w:lvl>
    <w:lvl w:ilvl="7" w:tplc="04090003" w:tentative="1">
      <w:start w:val="1"/>
      <w:numFmt w:val="bullet"/>
      <w:lvlText w:val="o"/>
      <w:lvlJc w:val="left"/>
      <w:pPr>
        <w:ind w:left="7899" w:hanging="360"/>
      </w:pPr>
      <w:rPr>
        <w:rFonts w:ascii="Courier New" w:hAnsi="Courier New" w:hint="default"/>
      </w:rPr>
    </w:lvl>
    <w:lvl w:ilvl="8" w:tplc="04090005" w:tentative="1">
      <w:start w:val="1"/>
      <w:numFmt w:val="bullet"/>
      <w:lvlText w:val=""/>
      <w:lvlJc w:val="left"/>
      <w:pPr>
        <w:ind w:left="8619" w:hanging="360"/>
      </w:pPr>
      <w:rPr>
        <w:rFonts w:ascii="Wingdings" w:hAnsi="Wingdings" w:hint="default"/>
      </w:rPr>
    </w:lvl>
  </w:abstractNum>
  <w:abstractNum w:abstractNumId="32" w15:restartNumberingAfterBreak="0">
    <w:nsid w:val="7D8A5F3B"/>
    <w:multiLevelType w:val="hybridMultilevel"/>
    <w:tmpl w:val="5A6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388075">
    <w:abstractNumId w:val="18"/>
  </w:num>
  <w:num w:numId="2" w16cid:durableId="2104841622">
    <w:abstractNumId w:val="29"/>
  </w:num>
  <w:num w:numId="3" w16cid:durableId="631986122">
    <w:abstractNumId w:val="31"/>
  </w:num>
  <w:num w:numId="4" w16cid:durableId="792332160">
    <w:abstractNumId w:val="17"/>
  </w:num>
  <w:num w:numId="5" w16cid:durableId="465976759">
    <w:abstractNumId w:val="23"/>
  </w:num>
  <w:num w:numId="6" w16cid:durableId="1722483122">
    <w:abstractNumId w:val="20"/>
  </w:num>
  <w:num w:numId="7" w16cid:durableId="530843685">
    <w:abstractNumId w:val="4"/>
  </w:num>
  <w:num w:numId="8" w16cid:durableId="825904209">
    <w:abstractNumId w:val="25"/>
  </w:num>
  <w:num w:numId="9" w16cid:durableId="56713627">
    <w:abstractNumId w:val="32"/>
  </w:num>
  <w:num w:numId="10" w16cid:durableId="2003700007">
    <w:abstractNumId w:val="1"/>
  </w:num>
  <w:num w:numId="11" w16cid:durableId="637998740">
    <w:abstractNumId w:val="14"/>
  </w:num>
  <w:num w:numId="12" w16cid:durableId="1645357466">
    <w:abstractNumId w:val="11"/>
  </w:num>
  <w:num w:numId="13" w16cid:durableId="664434570">
    <w:abstractNumId w:val="5"/>
  </w:num>
  <w:num w:numId="14" w16cid:durableId="71127204">
    <w:abstractNumId w:val="27"/>
  </w:num>
  <w:num w:numId="15" w16cid:durableId="1375693373">
    <w:abstractNumId w:val="30"/>
  </w:num>
  <w:num w:numId="16" w16cid:durableId="2111003592">
    <w:abstractNumId w:val="3"/>
  </w:num>
  <w:num w:numId="17" w16cid:durableId="1743405461">
    <w:abstractNumId w:val="13"/>
  </w:num>
  <w:num w:numId="18" w16cid:durableId="776406507">
    <w:abstractNumId w:val="26"/>
  </w:num>
  <w:num w:numId="19" w16cid:durableId="1307592245">
    <w:abstractNumId w:val="15"/>
  </w:num>
  <w:num w:numId="20" w16cid:durableId="786897594">
    <w:abstractNumId w:val="22"/>
  </w:num>
  <w:num w:numId="21" w16cid:durableId="1373116068">
    <w:abstractNumId w:val="24"/>
  </w:num>
  <w:num w:numId="22" w16cid:durableId="2028016354">
    <w:abstractNumId w:val="7"/>
  </w:num>
  <w:num w:numId="23" w16cid:durableId="663120408">
    <w:abstractNumId w:val="6"/>
  </w:num>
  <w:num w:numId="24" w16cid:durableId="608662574">
    <w:abstractNumId w:val="16"/>
  </w:num>
  <w:num w:numId="25" w16cid:durableId="65887452">
    <w:abstractNumId w:val="12"/>
  </w:num>
  <w:num w:numId="26" w16cid:durableId="899706860">
    <w:abstractNumId w:val="12"/>
  </w:num>
  <w:num w:numId="27" w16cid:durableId="600838335">
    <w:abstractNumId w:val="6"/>
  </w:num>
  <w:num w:numId="28" w16cid:durableId="1612973504">
    <w:abstractNumId w:val="12"/>
  </w:num>
  <w:num w:numId="29" w16cid:durableId="212735210">
    <w:abstractNumId w:val="12"/>
  </w:num>
  <w:num w:numId="30" w16cid:durableId="1156217498">
    <w:abstractNumId w:val="16"/>
  </w:num>
  <w:num w:numId="31" w16cid:durableId="1317875652">
    <w:abstractNumId w:val="13"/>
  </w:num>
  <w:num w:numId="32" w16cid:durableId="84612739">
    <w:abstractNumId w:val="13"/>
  </w:num>
  <w:num w:numId="33" w16cid:durableId="647172504">
    <w:abstractNumId w:val="9"/>
  </w:num>
  <w:num w:numId="34" w16cid:durableId="832337902">
    <w:abstractNumId w:val="12"/>
  </w:num>
  <w:num w:numId="35" w16cid:durableId="1555771866">
    <w:abstractNumId w:val="12"/>
  </w:num>
  <w:num w:numId="36" w16cid:durableId="1060055581">
    <w:abstractNumId w:val="12"/>
  </w:num>
  <w:num w:numId="37" w16cid:durableId="1783381999">
    <w:abstractNumId w:val="9"/>
  </w:num>
  <w:num w:numId="38" w16cid:durableId="158926843">
    <w:abstractNumId w:val="13"/>
  </w:num>
  <w:num w:numId="39" w16cid:durableId="455805368">
    <w:abstractNumId w:val="8"/>
  </w:num>
  <w:num w:numId="40" w16cid:durableId="1906062821">
    <w:abstractNumId w:val="10"/>
  </w:num>
  <w:num w:numId="41" w16cid:durableId="288514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65902411">
    <w:abstractNumId w:val="28"/>
  </w:num>
  <w:num w:numId="43" w16cid:durableId="194587909">
    <w:abstractNumId w:val="0"/>
  </w:num>
  <w:num w:numId="44" w16cid:durableId="1929000867">
    <w:abstractNumId w:val="9"/>
    <w:lvlOverride w:ilvl="0">
      <w:startOverride w:val="1"/>
    </w:lvlOverride>
  </w:num>
  <w:num w:numId="45" w16cid:durableId="631643183">
    <w:abstractNumId w:val="2"/>
  </w:num>
  <w:num w:numId="46" w16cid:durableId="1681423328">
    <w:abstractNumId w:val="19"/>
  </w:num>
  <w:num w:numId="47" w16cid:durableId="5887318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NTcyNzEwMrSwMDJU0lEKTi0uzszPAykwrAUAqcLknCwAAAA="/>
  </w:docVars>
  <w:rsids>
    <w:rsidRoot w:val="00382A37"/>
    <w:rsid w:val="00000A7E"/>
    <w:rsid w:val="000026C0"/>
    <w:rsid w:val="00005038"/>
    <w:rsid w:val="000063EE"/>
    <w:rsid w:val="00006416"/>
    <w:rsid w:val="00014D91"/>
    <w:rsid w:val="000203F4"/>
    <w:rsid w:val="00027D88"/>
    <w:rsid w:val="00031A74"/>
    <w:rsid w:val="000342C2"/>
    <w:rsid w:val="000568D5"/>
    <w:rsid w:val="00061BA0"/>
    <w:rsid w:val="00062933"/>
    <w:rsid w:val="00063F7B"/>
    <w:rsid w:val="00073C69"/>
    <w:rsid w:val="0007405C"/>
    <w:rsid w:val="00077DA9"/>
    <w:rsid w:val="000820E9"/>
    <w:rsid w:val="00090AC3"/>
    <w:rsid w:val="00091081"/>
    <w:rsid w:val="00096F14"/>
    <w:rsid w:val="000A3C79"/>
    <w:rsid w:val="000B17C5"/>
    <w:rsid w:val="000B6680"/>
    <w:rsid w:val="000C1B22"/>
    <w:rsid w:val="000C333B"/>
    <w:rsid w:val="000C53E6"/>
    <w:rsid w:val="000C726F"/>
    <w:rsid w:val="000D4D73"/>
    <w:rsid w:val="000D7C96"/>
    <w:rsid w:val="000F4992"/>
    <w:rsid w:val="00104A7A"/>
    <w:rsid w:val="001151FA"/>
    <w:rsid w:val="00115B6E"/>
    <w:rsid w:val="00125831"/>
    <w:rsid w:val="00135265"/>
    <w:rsid w:val="001370A2"/>
    <w:rsid w:val="00142E4D"/>
    <w:rsid w:val="00144309"/>
    <w:rsid w:val="00145C7F"/>
    <w:rsid w:val="001506EA"/>
    <w:rsid w:val="00157D75"/>
    <w:rsid w:val="00163991"/>
    <w:rsid w:val="001642BF"/>
    <w:rsid w:val="00177480"/>
    <w:rsid w:val="00180B5B"/>
    <w:rsid w:val="00194277"/>
    <w:rsid w:val="001947ED"/>
    <w:rsid w:val="001A56B7"/>
    <w:rsid w:val="001A5D54"/>
    <w:rsid w:val="001A755D"/>
    <w:rsid w:val="001C39BD"/>
    <w:rsid w:val="001C3F04"/>
    <w:rsid w:val="001F3715"/>
    <w:rsid w:val="001F68A9"/>
    <w:rsid w:val="00201FC4"/>
    <w:rsid w:val="0020224F"/>
    <w:rsid w:val="00204262"/>
    <w:rsid w:val="00210DF3"/>
    <w:rsid w:val="00211A22"/>
    <w:rsid w:val="002239F5"/>
    <w:rsid w:val="0023704E"/>
    <w:rsid w:val="002379F2"/>
    <w:rsid w:val="002477AA"/>
    <w:rsid w:val="00270755"/>
    <w:rsid w:val="00270815"/>
    <w:rsid w:val="00277ED0"/>
    <w:rsid w:val="0028027D"/>
    <w:rsid w:val="00296BAC"/>
    <w:rsid w:val="002A7141"/>
    <w:rsid w:val="002B01A7"/>
    <w:rsid w:val="002B1ABE"/>
    <w:rsid w:val="002D2204"/>
    <w:rsid w:val="002E34B5"/>
    <w:rsid w:val="002E611D"/>
    <w:rsid w:val="002F670C"/>
    <w:rsid w:val="003117E7"/>
    <w:rsid w:val="00325083"/>
    <w:rsid w:val="00332F49"/>
    <w:rsid w:val="00341833"/>
    <w:rsid w:val="00343F5F"/>
    <w:rsid w:val="003514D9"/>
    <w:rsid w:val="00357679"/>
    <w:rsid w:val="00360985"/>
    <w:rsid w:val="00361404"/>
    <w:rsid w:val="00364B24"/>
    <w:rsid w:val="00366B5D"/>
    <w:rsid w:val="00382A37"/>
    <w:rsid w:val="003862CB"/>
    <w:rsid w:val="003B3EE3"/>
    <w:rsid w:val="003C7F15"/>
    <w:rsid w:val="003D1CC8"/>
    <w:rsid w:val="003F0F59"/>
    <w:rsid w:val="003F2340"/>
    <w:rsid w:val="003F3F27"/>
    <w:rsid w:val="003F5567"/>
    <w:rsid w:val="00414E49"/>
    <w:rsid w:val="0041629D"/>
    <w:rsid w:val="00423CDF"/>
    <w:rsid w:val="004272D3"/>
    <w:rsid w:val="00431876"/>
    <w:rsid w:val="00432516"/>
    <w:rsid w:val="00440A79"/>
    <w:rsid w:val="00440BE1"/>
    <w:rsid w:val="00452266"/>
    <w:rsid w:val="00454BFF"/>
    <w:rsid w:val="00461096"/>
    <w:rsid w:val="00461F12"/>
    <w:rsid w:val="004675B5"/>
    <w:rsid w:val="00482884"/>
    <w:rsid w:val="00487533"/>
    <w:rsid w:val="0049024C"/>
    <w:rsid w:val="0049606C"/>
    <w:rsid w:val="004A2BA2"/>
    <w:rsid w:val="004B3686"/>
    <w:rsid w:val="004C4D95"/>
    <w:rsid w:val="004C5CEB"/>
    <w:rsid w:val="004D31CA"/>
    <w:rsid w:val="004F26BF"/>
    <w:rsid w:val="004F7D92"/>
    <w:rsid w:val="005030A5"/>
    <w:rsid w:val="005050CC"/>
    <w:rsid w:val="00516904"/>
    <w:rsid w:val="0052392E"/>
    <w:rsid w:val="00532232"/>
    <w:rsid w:val="00532828"/>
    <w:rsid w:val="00540397"/>
    <w:rsid w:val="005460FB"/>
    <w:rsid w:val="005515F9"/>
    <w:rsid w:val="00553F8C"/>
    <w:rsid w:val="00557B06"/>
    <w:rsid w:val="00562223"/>
    <w:rsid w:val="00564200"/>
    <w:rsid w:val="00572AC9"/>
    <w:rsid w:val="0058044F"/>
    <w:rsid w:val="00590AAC"/>
    <w:rsid w:val="0059518F"/>
    <w:rsid w:val="00596112"/>
    <w:rsid w:val="005B569A"/>
    <w:rsid w:val="005D2C08"/>
    <w:rsid w:val="005E1064"/>
    <w:rsid w:val="005E420A"/>
    <w:rsid w:val="005F4823"/>
    <w:rsid w:val="0060129A"/>
    <w:rsid w:val="006075D1"/>
    <w:rsid w:val="00607DA1"/>
    <w:rsid w:val="00610982"/>
    <w:rsid w:val="00612CAA"/>
    <w:rsid w:val="00613E37"/>
    <w:rsid w:val="00616035"/>
    <w:rsid w:val="0062577C"/>
    <w:rsid w:val="00627706"/>
    <w:rsid w:val="00652E74"/>
    <w:rsid w:val="0065356F"/>
    <w:rsid w:val="00660853"/>
    <w:rsid w:val="00660D78"/>
    <w:rsid w:val="00667538"/>
    <w:rsid w:val="006675E6"/>
    <w:rsid w:val="006743BD"/>
    <w:rsid w:val="0067778B"/>
    <w:rsid w:val="00690486"/>
    <w:rsid w:val="006B551E"/>
    <w:rsid w:val="006C0775"/>
    <w:rsid w:val="006D3403"/>
    <w:rsid w:val="006D38FF"/>
    <w:rsid w:val="006D42A1"/>
    <w:rsid w:val="006D52E8"/>
    <w:rsid w:val="006E1A16"/>
    <w:rsid w:val="006F11BA"/>
    <w:rsid w:val="006F783B"/>
    <w:rsid w:val="00700DC4"/>
    <w:rsid w:val="0070498F"/>
    <w:rsid w:val="00712F4F"/>
    <w:rsid w:val="00723323"/>
    <w:rsid w:val="00734FBF"/>
    <w:rsid w:val="00735009"/>
    <w:rsid w:val="00735108"/>
    <w:rsid w:val="00740E1B"/>
    <w:rsid w:val="00747E61"/>
    <w:rsid w:val="00752A7C"/>
    <w:rsid w:val="00756EC2"/>
    <w:rsid w:val="00761C56"/>
    <w:rsid w:val="007627F9"/>
    <w:rsid w:val="00767062"/>
    <w:rsid w:val="007715C7"/>
    <w:rsid w:val="0078254E"/>
    <w:rsid w:val="00784769"/>
    <w:rsid w:val="0079749D"/>
    <w:rsid w:val="007A20A9"/>
    <w:rsid w:val="007B5384"/>
    <w:rsid w:val="007C2645"/>
    <w:rsid w:val="007C3F8D"/>
    <w:rsid w:val="007D69DB"/>
    <w:rsid w:val="007E275F"/>
    <w:rsid w:val="007E5115"/>
    <w:rsid w:val="007F195D"/>
    <w:rsid w:val="007F6D25"/>
    <w:rsid w:val="00803FC6"/>
    <w:rsid w:val="008054F5"/>
    <w:rsid w:val="00816920"/>
    <w:rsid w:val="0082288A"/>
    <w:rsid w:val="008431BA"/>
    <w:rsid w:val="00844A87"/>
    <w:rsid w:val="00864824"/>
    <w:rsid w:val="008700C5"/>
    <w:rsid w:val="0088566B"/>
    <w:rsid w:val="008857FE"/>
    <w:rsid w:val="00891AAC"/>
    <w:rsid w:val="0089720E"/>
    <w:rsid w:val="008B6C1D"/>
    <w:rsid w:val="008B720F"/>
    <w:rsid w:val="008B7D99"/>
    <w:rsid w:val="008D3C37"/>
    <w:rsid w:val="008E3851"/>
    <w:rsid w:val="008E4BC5"/>
    <w:rsid w:val="008E7469"/>
    <w:rsid w:val="00912887"/>
    <w:rsid w:val="00915F38"/>
    <w:rsid w:val="00930746"/>
    <w:rsid w:val="00935F42"/>
    <w:rsid w:val="0095086D"/>
    <w:rsid w:val="00960540"/>
    <w:rsid w:val="00964BB0"/>
    <w:rsid w:val="00965980"/>
    <w:rsid w:val="009663A1"/>
    <w:rsid w:val="009700B9"/>
    <w:rsid w:val="0097591C"/>
    <w:rsid w:val="00983AA5"/>
    <w:rsid w:val="00984C6C"/>
    <w:rsid w:val="0098616F"/>
    <w:rsid w:val="00990233"/>
    <w:rsid w:val="00993199"/>
    <w:rsid w:val="009B30D3"/>
    <w:rsid w:val="009B3268"/>
    <w:rsid w:val="009C0C43"/>
    <w:rsid w:val="009E535B"/>
    <w:rsid w:val="009F24B8"/>
    <w:rsid w:val="00A14C15"/>
    <w:rsid w:val="00A14F10"/>
    <w:rsid w:val="00A218CE"/>
    <w:rsid w:val="00A25CE0"/>
    <w:rsid w:val="00A451D3"/>
    <w:rsid w:val="00A50C79"/>
    <w:rsid w:val="00A556B7"/>
    <w:rsid w:val="00A574BE"/>
    <w:rsid w:val="00A65ABB"/>
    <w:rsid w:val="00A67EA5"/>
    <w:rsid w:val="00A7258A"/>
    <w:rsid w:val="00A73BF4"/>
    <w:rsid w:val="00A768B1"/>
    <w:rsid w:val="00A844AA"/>
    <w:rsid w:val="00AA1FCA"/>
    <w:rsid w:val="00AA2BB9"/>
    <w:rsid w:val="00AA4FE2"/>
    <w:rsid w:val="00AC7E46"/>
    <w:rsid w:val="00AD244B"/>
    <w:rsid w:val="00AD4FB8"/>
    <w:rsid w:val="00AD756E"/>
    <w:rsid w:val="00AE052A"/>
    <w:rsid w:val="00AE2A8F"/>
    <w:rsid w:val="00AE30C0"/>
    <w:rsid w:val="00AE397B"/>
    <w:rsid w:val="00AE4106"/>
    <w:rsid w:val="00AE447E"/>
    <w:rsid w:val="00AE454D"/>
    <w:rsid w:val="00AF752D"/>
    <w:rsid w:val="00B12C8D"/>
    <w:rsid w:val="00B16363"/>
    <w:rsid w:val="00B310F1"/>
    <w:rsid w:val="00B3661F"/>
    <w:rsid w:val="00B4524F"/>
    <w:rsid w:val="00B67700"/>
    <w:rsid w:val="00B719CC"/>
    <w:rsid w:val="00B74F5A"/>
    <w:rsid w:val="00B76C72"/>
    <w:rsid w:val="00B839E0"/>
    <w:rsid w:val="00B8542F"/>
    <w:rsid w:val="00BA0D99"/>
    <w:rsid w:val="00BA563D"/>
    <w:rsid w:val="00BA6A3D"/>
    <w:rsid w:val="00BB0CC4"/>
    <w:rsid w:val="00C15273"/>
    <w:rsid w:val="00C24250"/>
    <w:rsid w:val="00C33673"/>
    <w:rsid w:val="00C3780B"/>
    <w:rsid w:val="00C4381E"/>
    <w:rsid w:val="00C47945"/>
    <w:rsid w:val="00C5389F"/>
    <w:rsid w:val="00C7263F"/>
    <w:rsid w:val="00C91730"/>
    <w:rsid w:val="00C91A66"/>
    <w:rsid w:val="00C91EB9"/>
    <w:rsid w:val="00CB2C5B"/>
    <w:rsid w:val="00CB63F5"/>
    <w:rsid w:val="00CC3477"/>
    <w:rsid w:val="00CC740F"/>
    <w:rsid w:val="00CD2BC2"/>
    <w:rsid w:val="00CF0A43"/>
    <w:rsid w:val="00CF4D0F"/>
    <w:rsid w:val="00CF6D1C"/>
    <w:rsid w:val="00D025AC"/>
    <w:rsid w:val="00D04D40"/>
    <w:rsid w:val="00D07C73"/>
    <w:rsid w:val="00D07FF9"/>
    <w:rsid w:val="00D17DD5"/>
    <w:rsid w:val="00D22CCA"/>
    <w:rsid w:val="00D25AB0"/>
    <w:rsid w:val="00D275D2"/>
    <w:rsid w:val="00D40E58"/>
    <w:rsid w:val="00D54EA5"/>
    <w:rsid w:val="00D65E5F"/>
    <w:rsid w:val="00D80327"/>
    <w:rsid w:val="00D82755"/>
    <w:rsid w:val="00D96BF0"/>
    <w:rsid w:val="00D97CBC"/>
    <w:rsid w:val="00DB1DC0"/>
    <w:rsid w:val="00DB2BB8"/>
    <w:rsid w:val="00DC288B"/>
    <w:rsid w:val="00DC36A7"/>
    <w:rsid w:val="00DD5E44"/>
    <w:rsid w:val="00DE4990"/>
    <w:rsid w:val="00DF1866"/>
    <w:rsid w:val="00DF427C"/>
    <w:rsid w:val="00E01E9E"/>
    <w:rsid w:val="00E07FCB"/>
    <w:rsid w:val="00E105F6"/>
    <w:rsid w:val="00E10EE0"/>
    <w:rsid w:val="00E141A4"/>
    <w:rsid w:val="00E17BB8"/>
    <w:rsid w:val="00E260C3"/>
    <w:rsid w:val="00E2714B"/>
    <w:rsid w:val="00E27972"/>
    <w:rsid w:val="00E3738E"/>
    <w:rsid w:val="00E43A38"/>
    <w:rsid w:val="00E45164"/>
    <w:rsid w:val="00E47E7D"/>
    <w:rsid w:val="00E50291"/>
    <w:rsid w:val="00E80588"/>
    <w:rsid w:val="00E8060E"/>
    <w:rsid w:val="00E82E44"/>
    <w:rsid w:val="00E854A3"/>
    <w:rsid w:val="00E932AA"/>
    <w:rsid w:val="00E94D45"/>
    <w:rsid w:val="00EA4438"/>
    <w:rsid w:val="00EC07C5"/>
    <w:rsid w:val="00EC2031"/>
    <w:rsid w:val="00EC438D"/>
    <w:rsid w:val="00ED1EE8"/>
    <w:rsid w:val="00ED49CB"/>
    <w:rsid w:val="00ED59E0"/>
    <w:rsid w:val="00EE4E37"/>
    <w:rsid w:val="00EF35F2"/>
    <w:rsid w:val="00EF446C"/>
    <w:rsid w:val="00EF74D5"/>
    <w:rsid w:val="00F05C22"/>
    <w:rsid w:val="00F065BA"/>
    <w:rsid w:val="00F071FB"/>
    <w:rsid w:val="00F15838"/>
    <w:rsid w:val="00F21A45"/>
    <w:rsid w:val="00F246CA"/>
    <w:rsid w:val="00F34AAA"/>
    <w:rsid w:val="00F35088"/>
    <w:rsid w:val="00F40CB2"/>
    <w:rsid w:val="00F454AF"/>
    <w:rsid w:val="00F533E7"/>
    <w:rsid w:val="00F6271B"/>
    <w:rsid w:val="00F66410"/>
    <w:rsid w:val="00F71EAF"/>
    <w:rsid w:val="00F73D2A"/>
    <w:rsid w:val="00F96F2F"/>
    <w:rsid w:val="00FA0495"/>
    <w:rsid w:val="00FA3854"/>
    <w:rsid w:val="00FA46E4"/>
    <w:rsid w:val="00FA6D57"/>
    <w:rsid w:val="00FB4112"/>
    <w:rsid w:val="00FB4CB5"/>
    <w:rsid w:val="00FC5699"/>
    <w:rsid w:val="00FD4C21"/>
    <w:rsid w:val="00FE1690"/>
    <w:rsid w:val="00FF7FCA"/>
    <w:rsid w:val="0A041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AEA5"/>
  <w15:docId w15:val="{400BE02D-5333-417F-AC32-969D21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69"/>
    <w:pPr>
      <w:jc w:val="both"/>
    </w:pPr>
    <w:rPr>
      <w:rFonts w:ascii="Arial" w:hAnsi="Arial"/>
      <w:szCs w:val="22"/>
      <w:lang w:eastAsia="en-US"/>
    </w:rPr>
  </w:style>
  <w:style w:type="paragraph" w:styleId="Heading1">
    <w:name w:val="heading 1"/>
    <w:basedOn w:val="Normal"/>
    <w:next w:val="Normal"/>
    <w:link w:val="Heading1Char"/>
    <w:autoRedefine/>
    <w:uiPriority w:val="9"/>
    <w:qFormat/>
    <w:rsid w:val="000B17C5"/>
    <w:pPr>
      <w:keepNext/>
      <w:keepLines/>
      <w:numPr>
        <w:numId w:val="36"/>
      </w:numPr>
      <w:spacing w:before="240" w:after="240"/>
      <w:outlineLvl w:val="0"/>
    </w:pPr>
    <w:rPr>
      <w:rFonts w:eastAsia="Times New Roman"/>
      <w:b/>
      <w:bCs/>
      <w:color w:val="E96828"/>
      <w:sz w:val="32"/>
      <w:szCs w:val="28"/>
    </w:rPr>
  </w:style>
  <w:style w:type="paragraph" w:styleId="Heading2">
    <w:name w:val="heading 2"/>
    <w:basedOn w:val="Normal"/>
    <w:next w:val="Normal"/>
    <w:link w:val="Heading2Char"/>
    <w:uiPriority w:val="9"/>
    <w:unhideWhenUsed/>
    <w:qFormat/>
    <w:rsid w:val="00D22CCA"/>
    <w:pPr>
      <w:keepNext/>
      <w:numPr>
        <w:ilvl w:val="1"/>
        <w:numId w:val="36"/>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DE4990"/>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rsid w:val="00DE4990"/>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semiHidden/>
    <w:unhideWhenUsed/>
    <w:qFormat/>
    <w:rsid w:val="00073C69"/>
    <w:pPr>
      <w:keepNext/>
      <w:keepLines/>
      <w:numPr>
        <w:ilvl w:val="4"/>
        <w:numId w:val="36"/>
      </w:numPr>
      <w:spacing w:before="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073C69"/>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3C69"/>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3C69"/>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3C69"/>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customStyle="1" w:styleId="HeaderChar">
    <w:name w:val="Header Char"/>
    <w:basedOn w:val="DefaultParagraphFont"/>
    <w:link w:val="Header"/>
    <w:uiPriority w:val="99"/>
    <w:rsid w:val="00761C56"/>
  </w:style>
  <w:style w:type="paragraph" w:styleId="Footer">
    <w:name w:val="footer"/>
    <w:basedOn w:val="Normal"/>
    <w:link w:val="FooterChar"/>
    <w:uiPriority w:val="99"/>
    <w:unhideWhenUsed/>
    <w:rsid w:val="00F96F2F"/>
    <w:pPr>
      <w:tabs>
        <w:tab w:val="center" w:pos="4513"/>
        <w:tab w:val="right" w:pos="9026"/>
      </w:tabs>
      <w:spacing w:after="60"/>
      <w:ind w:left="227" w:hanging="227"/>
    </w:pPr>
  </w:style>
  <w:style w:type="character" w:customStyle="1" w:styleId="FooterChar">
    <w:name w:val="Footer Char"/>
    <w:link w:val="Footer"/>
    <w:uiPriority w:val="99"/>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customStyle="1" w:styleId="BalloonTextChar">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eastAsia="Times New Roman" w:hAnsi="Arial"/>
      <w:lang w:val="en-US" w:eastAsia="ja-JP"/>
    </w:rPr>
  </w:style>
  <w:style w:type="character" w:customStyle="1" w:styleId="NoSpacingChar">
    <w:name w:val="No Spacing Char"/>
    <w:link w:val="NoSpacing"/>
    <w:uiPriority w:val="1"/>
    <w:rsid w:val="00A556B7"/>
    <w:rPr>
      <w:rFonts w:ascii="Arial" w:eastAsia="Times New Roman" w:hAnsi="Arial"/>
      <w:lang w:val="en-US" w:eastAsia="ja-JP"/>
    </w:rPr>
  </w:style>
  <w:style w:type="paragraph" w:styleId="Subtitle">
    <w:name w:val="Subtitle"/>
    <w:basedOn w:val="Normal"/>
    <w:next w:val="Normal"/>
    <w:link w:val="SubtitleChar"/>
    <w:autoRedefine/>
    <w:uiPriority w:val="11"/>
    <w:qFormat/>
    <w:rsid w:val="000568D5"/>
    <w:pPr>
      <w:numPr>
        <w:ilvl w:val="1"/>
      </w:numPr>
    </w:pPr>
    <w:rPr>
      <w:rFonts w:eastAsia="Times New Roman"/>
      <w:b/>
      <w:iCs/>
      <w:color w:val="404040"/>
      <w:spacing w:val="15"/>
      <w:sz w:val="48"/>
      <w:szCs w:val="24"/>
      <w:lang w:val="en-US" w:eastAsia="ja-JP"/>
    </w:rPr>
  </w:style>
  <w:style w:type="character" w:customStyle="1" w:styleId="SubtitleChar">
    <w:name w:val="Subtitle Char"/>
    <w:link w:val="Subtitle"/>
    <w:uiPriority w:val="11"/>
    <w:rsid w:val="000568D5"/>
    <w:rPr>
      <w:rFonts w:ascii="Arial" w:eastAsia="Times New Roman" w:hAnsi="Arial"/>
      <w:b/>
      <w:iCs/>
      <w:color w:val="404040"/>
      <w:spacing w:val="15"/>
      <w:sz w:val="48"/>
      <w:szCs w:val="24"/>
      <w:lang w:val="en-US" w:eastAsia="ja-JP"/>
    </w:rPr>
  </w:style>
  <w:style w:type="character" w:customStyle="1" w:styleId="Heading1Char">
    <w:name w:val="Heading 1 Char"/>
    <w:link w:val="Heading1"/>
    <w:uiPriority w:val="9"/>
    <w:rsid w:val="000B17C5"/>
    <w:rPr>
      <w:rFonts w:ascii="Arial" w:eastAsia="Times New Roman" w:hAnsi="Arial"/>
      <w:b/>
      <w:bCs/>
      <w:color w:val="E96828"/>
      <w:sz w:val="32"/>
      <w:szCs w:val="28"/>
      <w:lang w:eastAsia="en-US"/>
    </w:rPr>
  </w:style>
  <w:style w:type="paragraph" w:styleId="NormalWeb">
    <w:name w:val="Normal (Web)"/>
    <w:basedOn w:val="Normal"/>
    <w:uiPriority w:val="99"/>
    <w:semiHidden/>
    <w:unhideWhenUsed/>
    <w:rsid w:val="0098616F"/>
    <w:pPr>
      <w:spacing w:before="100" w:beforeAutospacing="1" w:after="100" w:afterAutospacing="1"/>
    </w:pPr>
    <w:rPr>
      <w:rFonts w:ascii="Times New Roman" w:eastAsia="Times New Roman" w:hAnsi="Times New Roman"/>
      <w:sz w:val="24"/>
      <w:szCs w:val="24"/>
      <w:lang w:eastAsia="en-GB"/>
    </w:rPr>
  </w:style>
  <w:style w:type="paragraph" w:customStyle="1" w:styleId="3CBD5A742C28424DA5172AD252E32316">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D07C73"/>
    <w:pPr>
      <w:spacing w:after="120"/>
      <w:ind w:left="142" w:hanging="142"/>
    </w:pPr>
    <w:rPr>
      <w:rFonts w:eastAsia="MS Mincho"/>
      <w:sz w:val="18"/>
      <w:szCs w:val="24"/>
      <w:lang w:val="en-US" w:eastAsia="ja-JP"/>
    </w:rPr>
  </w:style>
  <w:style w:type="character" w:customStyle="1" w:styleId="FootnoteTextChar">
    <w:name w:val="Footnote Text Char"/>
    <w:link w:val="FootnoteText"/>
    <w:rsid w:val="00D07C73"/>
    <w:rPr>
      <w:rFonts w:ascii="Arial" w:eastAsia="MS Mincho" w:hAnsi="Arial"/>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customStyle="1" w:styleId="BodyText2Char">
    <w:name w:val="Body Text 2 Char"/>
    <w:link w:val="BodyText2"/>
    <w:rsid w:val="00006416"/>
    <w:rPr>
      <w:rFonts w:ascii="Arial" w:eastAsia="Times New Roman" w:hAnsi="Arial"/>
      <w:b/>
    </w:rPr>
  </w:style>
  <w:style w:type="paragraph" w:styleId="BlockText">
    <w:name w:val="Block Text"/>
    <w:basedOn w:val="Normal"/>
    <w:rsid w:val="00006416"/>
    <w:pPr>
      <w:ind w:left="1080" w:right="720"/>
    </w:pPr>
    <w:rPr>
      <w:rFonts w:eastAsia="Times New Roman"/>
      <w:szCs w:val="20"/>
      <w:lang w:eastAsia="ja-JP"/>
    </w:rPr>
  </w:style>
  <w:style w:type="character" w:customStyle="1" w:styleId="Heading2Char">
    <w:name w:val="Heading 2 Char"/>
    <w:link w:val="Heading2"/>
    <w:uiPriority w:val="9"/>
    <w:rsid w:val="00D22CCA"/>
    <w:rPr>
      <w:rFonts w:ascii="Arial" w:eastAsia="Times New Roman" w:hAnsi="Arial"/>
      <w:b/>
      <w:bCs/>
      <w:iCs/>
      <w:sz w:val="28"/>
      <w:szCs w:val="28"/>
      <w:lang w:eastAsia="en-US"/>
    </w:rPr>
  </w:style>
  <w:style w:type="character" w:customStyle="1" w:styleId="Heading3Char">
    <w:name w:val="Heading 3 Char"/>
    <w:link w:val="Heading3"/>
    <w:uiPriority w:val="9"/>
    <w:rsid w:val="00DE4990"/>
    <w:rPr>
      <w:rFonts w:ascii="Arial" w:eastAsia="Times New Roman" w:hAnsi="Arial"/>
      <w:b/>
      <w:bCs/>
      <w:sz w:val="24"/>
      <w:szCs w:val="26"/>
      <w:lang w:eastAsia="en-US"/>
    </w:rPr>
  </w:style>
  <w:style w:type="character" w:customStyle="1" w:styleId="Heading4Char">
    <w:name w:val="Heading 4 Char"/>
    <w:link w:val="Heading4"/>
    <w:uiPriority w:val="9"/>
    <w:rsid w:val="00DE4990"/>
    <w:rPr>
      <w:rFonts w:ascii="Arial" w:eastAsia="Times New Roman" w:hAnsi="Arial"/>
      <w:b/>
      <w:bCs/>
      <w:i/>
      <w:szCs w:val="28"/>
      <w:lang w:eastAsia="en-US"/>
    </w:rPr>
  </w:style>
  <w:style w:type="paragraph" w:customStyle="1" w:styleId="NumberList">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customStyle="1" w:styleId="BulletList">
    <w:name w:val="Bullet List"/>
    <w:basedOn w:val="ListParagraph"/>
    <w:link w:val="BulletListChar"/>
    <w:rsid w:val="00073C69"/>
    <w:pPr>
      <w:numPr>
        <w:numId w:val="38"/>
      </w:numPr>
      <w:tabs>
        <w:tab w:val="left" w:pos="454"/>
      </w:tabs>
      <w:spacing w:after="240"/>
      <w:ind w:right="113"/>
      <w:contextualSpacing w:val="0"/>
    </w:pPr>
    <w:rPr>
      <w:lang w:val="en-GB"/>
    </w:rPr>
  </w:style>
  <w:style w:type="character" w:customStyle="1" w:styleId="ListParagraphChar">
    <w:name w:val="List Paragraph Char"/>
    <w:link w:val="ListParagraph"/>
    <w:uiPriority w:val="34"/>
    <w:rsid w:val="00AE2A8F"/>
    <w:rPr>
      <w:rFonts w:ascii="Calibri" w:eastAsia="MS Mincho" w:hAnsi="Calibri"/>
      <w:sz w:val="22"/>
      <w:szCs w:val="24"/>
      <w:lang w:val="en-US" w:eastAsia="ja-JP"/>
    </w:rPr>
  </w:style>
  <w:style w:type="character" w:customStyle="1" w:styleId="NumberListChar">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jc w:val="left"/>
      <w:outlineLvl w:val="9"/>
    </w:pPr>
    <w:rPr>
      <w:rFonts w:eastAsia="MS Gothic"/>
      <w:color w:val="365F91"/>
      <w:lang w:val="en-US" w:eastAsia="ja-JP"/>
    </w:rPr>
  </w:style>
  <w:style w:type="character" w:customStyle="1" w:styleId="BulletListChar">
    <w:name w:val="Bullet List Char"/>
    <w:link w:val="BulletList"/>
    <w:rsid w:val="00A556B7"/>
    <w:rPr>
      <w:rFonts w:ascii="Arial" w:eastAsia="MS Mincho" w:hAnsi="Arial"/>
      <w:szCs w:val="24"/>
      <w:lang w:eastAsia="ja-JP"/>
    </w:rPr>
  </w:style>
  <w:style w:type="paragraph" w:styleId="TOC1">
    <w:name w:val="toc 1"/>
    <w:basedOn w:val="Normal"/>
    <w:next w:val="Normal"/>
    <w:autoRedefine/>
    <w:uiPriority w:val="39"/>
    <w:unhideWhenUsed/>
    <w:rsid w:val="007627F9"/>
    <w:pPr>
      <w:tabs>
        <w:tab w:val="left" w:pos="851"/>
        <w:tab w:val="right" w:pos="9016"/>
      </w:tabs>
      <w:spacing w:before="360" w:after="360"/>
      <w:jc w:val="left"/>
    </w:pPr>
    <w:rPr>
      <w:b/>
      <w:bCs/>
      <w:color w:val="EC6608"/>
      <w:u w:val="single"/>
    </w:rPr>
  </w:style>
  <w:style w:type="paragraph" w:styleId="TOC2">
    <w:name w:val="toc 2"/>
    <w:basedOn w:val="Normal"/>
    <w:next w:val="Normal"/>
    <w:autoRedefine/>
    <w:uiPriority w:val="39"/>
    <w:unhideWhenUsed/>
    <w:rsid w:val="007627F9"/>
    <w:pPr>
      <w:tabs>
        <w:tab w:val="left" w:pos="851"/>
        <w:tab w:val="right" w:pos="9016"/>
      </w:tabs>
      <w:ind w:left="851"/>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8E4BC5"/>
    <w:rPr>
      <w:color w:val="0075BE"/>
      <w:u w:val="single"/>
    </w:rPr>
  </w:style>
  <w:style w:type="paragraph" w:customStyle="1" w:styleId="Footnote">
    <w:name w:val="Footnote"/>
    <w:basedOn w:val="Footer"/>
    <w:link w:val="FootnoteChar"/>
    <w:rsid w:val="00073C69"/>
    <w:pPr>
      <w:ind w:left="142" w:hanging="142"/>
    </w:pPr>
    <w:rPr>
      <w:sz w:val="18"/>
    </w:rPr>
  </w:style>
  <w:style w:type="table" w:styleId="TableGrid">
    <w:name w:val="Table Grid"/>
    <w:basedOn w:val="TableNormal"/>
    <w:uiPriority w:val="59"/>
    <w:rsid w:val="0084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link w:val="Footnote"/>
    <w:rsid w:val="00073C69"/>
    <w:rPr>
      <w:rFonts w:ascii="Arial" w:hAnsi="Arial"/>
      <w:sz w:val="18"/>
      <w:szCs w:val="22"/>
      <w:lang w:eastAsia="en-US"/>
    </w:rPr>
  </w:style>
  <w:style w:type="character" w:styleId="Strong">
    <w:name w:val="Strong"/>
    <w:uiPriority w:val="22"/>
    <w:rsid w:val="00B76C72"/>
    <w:rPr>
      <w:rFonts w:ascii="Arial" w:hAnsi="Arial"/>
      <w:b/>
      <w:bCs/>
    </w:rPr>
  </w:style>
  <w:style w:type="paragraph" w:customStyle="1" w:styleId="Pa2">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customStyle="1" w:styleId="Pa5">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customStyle="1" w:styleId="A2">
    <w:name w:val="A2"/>
    <w:uiPriority w:val="99"/>
    <w:rsid w:val="00AE454D"/>
    <w:rPr>
      <w:rFonts w:ascii="StoneSansSemibold" w:hAnsi="StoneSansSemibold" w:cs="StoneSansSemibold"/>
      <w:color w:val="000000"/>
      <w:sz w:val="22"/>
      <w:szCs w:val="22"/>
    </w:rPr>
  </w:style>
  <w:style w:type="character" w:customStyle="1" w:styleId="Heading5Char">
    <w:name w:val="Heading 5 Char"/>
    <w:basedOn w:val="DefaultParagraphFont"/>
    <w:link w:val="Heading5"/>
    <w:uiPriority w:val="9"/>
    <w:semiHidden/>
    <w:rsid w:val="00A556B7"/>
    <w:rPr>
      <w:rFonts w:ascii="Arial" w:eastAsiaTheme="majorEastAsia" w:hAnsi="Arial"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customStyle="1" w:styleId="Bullet1">
    <w:name w:val="Bullet 1"/>
    <w:basedOn w:val="BulletList"/>
    <w:link w:val="Bullet1Char"/>
    <w:qFormat/>
    <w:rsid w:val="00357679"/>
    <w:pPr>
      <w:numPr>
        <w:numId w:val="33"/>
      </w:numPr>
    </w:pPr>
    <w:rPr>
      <w:rFonts w:cs="Arial"/>
      <w:szCs w:val="22"/>
    </w:rPr>
  </w:style>
  <w:style w:type="paragraph" w:customStyle="1" w:styleId="Bullet2">
    <w:name w:val="Bullet 2"/>
    <w:basedOn w:val="BulletList"/>
    <w:link w:val="Bullet2Char"/>
    <w:qFormat/>
    <w:rsid w:val="000D7C96"/>
    <w:pPr>
      <w:numPr>
        <w:ilvl w:val="1"/>
        <w:numId w:val="17"/>
      </w:numPr>
      <w:ind w:left="1565" w:hanging="357"/>
    </w:pPr>
    <w:rPr>
      <w:rFonts w:cs="Arial"/>
      <w:szCs w:val="22"/>
    </w:rPr>
  </w:style>
  <w:style w:type="character" w:customStyle="1" w:styleId="Bullet1Char">
    <w:name w:val="Bullet 1 Char"/>
    <w:basedOn w:val="BulletListChar"/>
    <w:link w:val="Bullet1"/>
    <w:rsid w:val="00357679"/>
    <w:rPr>
      <w:rFonts w:ascii="Arial" w:eastAsia="MS Mincho" w:hAnsi="Arial"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customStyle="1" w:styleId="Bullet2Char">
    <w:name w:val="Bullet 2 Char"/>
    <w:basedOn w:val="BulletListChar"/>
    <w:link w:val="Bullet2"/>
    <w:rsid w:val="000D7C96"/>
    <w:rPr>
      <w:rFonts w:ascii="Arial" w:eastAsia="MS Mincho" w:hAnsi="Arial"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customStyle="1" w:styleId="HeadingScope">
    <w:name w:val="Heading Scope"/>
    <w:basedOn w:val="Heading1"/>
    <w:link w:val="HeadingScopeChar"/>
    <w:rsid w:val="0065356F"/>
    <w:pPr>
      <w:numPr>
        <w:numId w:val="0"/>
      </w:numPr>
    </w:pPr>
  </w:style>
  <w:style w:type="character" w:customStyle="1" w:styleId="HeadingScopeChar">
    <w:name w:val="Heading Scope Char"/>
    <w:basedOn w:val="Heading1Char"/>
    <w:link w:val="HeadingScope"/>
    <w:rsid w:val="0065356F"/>
    <w:rPr>
      <w:rFonts w:ascii="Arial" w:eastAsia="Times New Roman" w:hAnsi="Arial"/>
      <w:b/>
      <w:bCs/>
      <w:color w:val="140F4F"/>
      <w:sz w:val="32"/>
      <w:szCs w:val="28"/>
      <w:lang w:eastAsia="en-US"/>
    </w:rPr>
  </w:style>
  <w:style w:type="character" w:customStyle="1" w:styleId="Heading6Char">
    <w:name w:val="Heading 6 Char"/>
    <w:basedOn w:val="DefaultParagraphFont"/>
    <w:link w:val="Heading6"/>
    <w:uiPriority w:val="9"/>
    <w:semiHidden/>
    <w:rsid w:val="002F670C"/>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2F670C"/>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2F670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2F670C"/>
    <w:rPr>
      <w:rFonts w:asciiTheme="majorHAnsi" w:eastAsiaTheme="majorEastAsia" w:hAnsiTheme="majorHAnsi" w:cstheme="majorBidi"/>
      <w:i/>
      <w:iCs/>
      <w:color w:val="272727" w:themeColor="text1" w:themeTint="D8"/>
      <w:sz w:val="21"/>
      <w:szCs w:val="21"/>
      <w:lang w:eastAsia="en-US"/>
    </w:rPr>
  </w:style>
  <w:style w:type="paragraph" w:customStyle="1" w:styleId="DocTitle">
    <w:name w:val="Doc Title"/>
    <w:basedOn w:val="Normal"/>
    <w:rsid w:val="00357679"/>
    <w:pPr>
      <w:jc w:val="left"/>
    </w:pPr>
    <w:rPr>
      <w:rFonts w:eastAsia="MS Gothic"/>
    </w:rPr>
  </w:style>
  <w:style w:type="paragraph" w:customStyle="1" w:styleId="ParaNumbers">
    <w:name w:val="Para Numbers"/>
    <w:basedOn w:val="Normal"/>
    <w:link w:val="ParaNumbersChar"/>
    <w:qFormat/>
    <w:rsid w:val="00D07C73"/>
    <w:pPr>
      <w:numPr>
        <w:numId w:val="39"/>
      </w:numPr>
      <w:spacing w:after="240"/>
      <w:ind w:left="851" w:hanging="851"/>
    </w:pPr>
  </w:style>
  <w:style w:type="character" w:customStyle="1" w:styleId="ParaNumbersChar">
    <w:name w:val="Para Numbers Char"/>
    <w:basedOn w:val="DefaultParagraphFont"/>
    <w:link w:val="ParaNumbers"/>
    <w:rsid w:val="00D07C73"/>
    <w:rPr>
      <w:rFonts w:ascii="Arial" w:hAnsi="Arial"/>
      <w:szCs w:val="22"/>
      <w:lang w:eastAsia="en-US"/>
    </w:rPr>
  </w:style>
  <w:style w:type="paragraph" w:customStyle="1" w:styleId="Quotation">
    <w:name w:val="Quotation"/>
    <w:basedOn w:val="Normal"/>
    <w:next w:val="Normal"/>
    <w:link w:val="QuotationChar"/>
    <w:rsid w:val="00D07C73"/>
    <w:pPr>
      <w:ind w:left="851" w:right="851"/>
    </w:pPr>
    <w:rPr>
      <w:sz w:val="18"/>
    </w:rPr>
  </w:style>
  <w:style w:type="character" w:customStyle="1" w:styleId="QuotationChar">
    <w:name w:val="Quotation Char"/>
    <w:basedOn w:val="DefaultParagraphFont"/>
    <w:link w:val="Quotation"/>
    <w:rsid w:val="00D07C73"/>
    <w:rPr>
      <w:rFonts w:ascii="Arial" w:hAnsi="Arial"/>
      <w:sz w:val="18"/>
      <w:szCs w:val="22"/>
      <w:lang w:eastAsia="en-US"/>
    </w:rPr>
  </w:style>
  <w:style w:type="paragraph" w:customStyle="1" w:styleId="QuoteP">
    <w:name w:val="Quote P"/>
    <w:basedOn w:val="Quotation"/>
    <w:next w:val="Normal"/>
    <w:link w:val="QuotePChar"/>
    <w:rsid w:val="0060129A"/>
    <w:pPr>
      <w:ind w:left="1701"/>
    </w:pPr>
  </w:style>
  <w:style w:type="character" w:customStyle="1" w:styleId="QuotePChar">
    <w:name w:val="Quote P Char"/>
    <w:basedOn w:val="QuotationChar"/>
    <w:link w:val="QuoteP"/>
    <w:rsid w:val="0060129A"/>
    <w:rPr>
      <w:rFonts w:ascii="Arial" w:hAnsi="Arial"/>
      <w:sz w:val="18"/>
      <w:szCs w:val="22"/>
      <w:lang w:eastAsia="en-US"/>
    </w:rPr>
  </w:style>
  <w:style w:type="paragraph" w:customStyle="1" w:styleId="DocumentTitle">
    <w:name w:val="Document Title"/>
    <w:basedOn w:val="Normal"/>
    <w:link w:val="DocumentTitleChar"/>
    <w:autoRedefine/>
    <w:qFormat/>
    <w:rsid w:val="000B17C5"/>
    <w:rPr>
      <w:b/>
      <w:color w:val="E96828"/>
      <w:sz w:val="60"/>
      <w:szCs w:val="60"/>
      <w:lang w:val="en-US"/>
    </w:rPr>
  </w:style>
  <w:style w:type="paragraph" w:customStyle="1" w:styleId="Index">
    <w:name w:val="Index"/>
    <w:basedOn w:val="Normal"/>
    <w:link w:val="IndexChar"/>
    <w:autoRedefine/>
    <w:qFormat/>
    <w:rsid w:val="000B17C5"/>
    <w:pPr>
      <w:spacing w:before="100" w:beforeAutospacing="1" w:after="100" w:afterAutospacing="1"/>
    </w:pPr>
    <w:rPr>
      <w:b/>
      <w:color w:val="E96828"/>
      <w:sz w:val="48"/>
      <w:szCs w:val="32"/>
    </w:rPr>
  </w:style>
  <w:style w:type="character" w:customStyle="1" w:styleId="DocumentTitleChar">
    <w:name w:val="Document Title Char"/>
    <w:basedOn w:val="DefaultParagraphFont"/>
    <w:link w:val="DocumentTitle"/>
    <w:rsid w:val="000B17C5"/>
    <w:rPr>
      <w:rFonts w:ascii="Arial" w:hAnsi="Arial"/>
      <w:b/>
      <w:color w:val="E96828"/>
      <w:sz w:val="60"/>
      <w:szCs w:val="60"/>
      <w:lang w:val="en-US" w:eastAsia="en-US"/>
    </w:rPr>
  </w:style>
  <w:style w:type="character" w:customStyle="1" w:styleId="IndexChar">
    <w:name w:val="Index Char"/>
    <w:basedOn w:val="DefaultParagraphFont"/>
    <w:link w:val="Index"/>
    <w:rsid w:val="000B17C5"/>
    <w:rPr>
      <w:rFonts w:ascii="Arial" w:hAnsi="Arial"/>
      <w:b/>
      <w:color w:val="E96828"/>
      <w:sz w:val="48"/>
      <w:szCs w:val="32"/>
      <w:lang w:eastAsia="en-US"/>
    </w:rPr>
  </w:style>
  <w:style w:type="character" w:styleId="CommentReference">
    <w:name w:val="annotation reference"/>
    <w:basedOn w:val="DefaultParagraphFont"/>
    <w:uiPriority w:val="99"/>
    <w:semiHidden/>
    <w:unhideWhenUsed/>
    <w:rsid w:val="00414E49"/>
    <w:rPr>
      <w:sz w:val="16"/>
      <w:szCs w:val="16"/>
    </w:rPr>
  </w:style>
  <w:style w:type="paragraph" w:styleId="CommentText">
    <w:name w:val="annotation text"/>
    <w:basedOn w:val="Normal"/>
    <w:link w:val="CommentTextChar"/>
    <w:uiPriority w:val="99"/>
    <w:semiHidden/>
    <w:unhideWhenUsed/>
    <w:rsid w:val="00414E49"/>
    <w:rPr>
      <w:szCs w:val="20"/>
    </w:rPr>
  </w:style>
  <w:style w:type="character" w:customStyle="1" w:styleId="CommentTextChar">
    <w:name w:val="Comment Text Char"/>
    <w:basedOn w:val="DefaultParagraphFont"/>
    <w:link w:val="CommentText"/>
    <w:uiPriority w:val="99"/>
    <w:semiHidden/>
    <w:rsid w:val="00414E4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4E49"/>
    <w:rPr>
      <w:b/>
      <w:bCs/>
    </w:rPr>
  </w:style>
  <w:style w:type="character" w:customStyle="1" w:styleId="CommentSubjectChar">
    <w:name w:val="Comment Subject Char"/>
    <w:basedOn w:val="CommentTextChar"/>
    <w:link w:val="CommentSubject"/>
    <w:uiPriority w:val="99"/>
    <w:semiHidden/>
    <w:rsid w:val="00414E49"/>
    <w:rPr>
      <w:rFonts w:ascii="Arial" w:hAnsi="Arial"/>
      <w:b/>
      <w:bCs/>
      <w:lang w:eastAsia="en-US"/>
    </w:rPr>
  </w:style>
  <w:style w:type="character" w:styleId="UnresolvedMention">
    <w:name w:val="Unresolved Mention"/>
    <w:basedOn w:val="DefaultParagraphFont"/>
    <w:uiPriority w:val="99"/>
    <w:semiHidden/>
    <w:unhideWhenUsed/>
    <w:rsid w:val="001151FA"/>
    <w:rPr>
      <w:color w:val="605E5C"/>
      <w:shd w:val="clear" w:color="auto" w:fill="E1DFDD"/>
    </w:rPr>
  </w:style>
  <w:style w:type="character" w:styleId="FollowedHyperlink">
    <w:name w:val="FollowedHyperlink"/>
    <w:basedOn w:val="DefaultParagraphFont"/>
    <w:uiPriority w:val="99"/>
    <w:unhideWhenUsed/>
    <w:qFormat/>
    <w:rsid w:val="000B17C5"/>
    <w:rPr>
      <w:color w:val="E96828"/>
      <w:u w:val="single"/>
    </w:rPr>
  </w:style>
  <w:style w:type="paragraph" w:customStyle="1" w:styleId="CommiteeApproval">
    <w:name w:val="Commitee Approval"/>
    <w:basedOn w:val="Normal"/>
    <w:autoRedefine/>
    <w:qFormat/>
    <w:rsid w:val="008431BA"/>
    <w:rPr>
      <w:b/>
      <w:color w:val="E968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01873">
      <w:bodyDiv w:val="1"/>
      <w:marLeft w:val="0"/>
      <w:marRight w:val="0"/>
      <w:marTop w:val="0"/>
      <w:marBottom w:val="0"/>
      <w:divBdr>
        <w:top w:val="none" w:sz="0" w:space="0" w:color="auto"/>
        <w:left w:val="none" w:sz="0" w:space="0" w:color="auto"/>
        <w:bottom w:val="none" w:sz="0" w:space="0" w:color="auto"/>
        <w:right w:val="none" w:sz="0" w:space="0" w:color="auto"/>
      </w:divBdr>
    </w:div>
    <w:div w:id="1151605149">
      <w:bodyDiv w:val="1"/>
      <w:marLeft w:val="0"/>
      <w:marRight w:val="0"/>
      <w:marTop w:val="0"/>
      <w:marBottom w:val="0"/>
      <w:divBdr>
        <w:top w:val="none" w:sz="0" w:space="0" w:color="auto"/>
        <w:left w:val="none" w:sz="0" w:space="0" w:color="auto"/>
        <w:bottom w:val="none" w:sz="0" w:space="0" w:color="auto"/>
        <w:right w:val="none" w:sz="0" w:space="0" w:color="auto"/>
      </w:divBdr>
    </w:div>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 w:id="1528250927">
      <w:bodyDiv w:val="1"/>
      <w:marLeft w:val="0"/>
      <w:marRight w:val="0"/>
      <w:marTop w:val="0"/>
      <w:marBottom w:val="0"/>
      <w:divBdr>
        <w:top w:val="none" w:sz="0" w:space="0" w:color="auto"/>
        <w:left w:val="none" w:sz="0" w:space="0" w:color="auto"/>
        <w:bottom w:val="none" w:sz="0" w:space="0" w:color="auto"/>
        <w:right w:val="none" w:sz="0" w:space="0" w:color="auto"/>
      </w:divBdr>
    </w:div>
    <w:div w:id="18574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tony.charles@bi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0.16\Shares\IT\BIL_Templates\BI_A1_Academic%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ademic_x0020_Year xmlns="7d459c26-d71c-43ee-8f86-aefe53351e68">2024-2025</Academic_x0020_Year>
    <Target_x0020_Audience xmlns="7d459c26-d71c-43ee-8f86-aefe53351e68" xsi:nil="true"/>
    <hcec870b9858428984bab933438bcb87 xmlns="7d459c26-d71c-43ee-8f86-aefe53351e6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a17a3171-b607-4946-b4e0-2c33c913bef4</TermId>
        </TermInfo>
      </Terms>
    </hcec870b9858428984bab933438bcb87>
    <i1763b2c29f04e448aeb93cd09d58152 xmlns="7d459c26-d71c-43ee-8f86-aefe53351e68">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01f45fe2-f71a-4a37-9330-26ae1ece5a4b</TermId>
        </TermInfo>
      </Terms>
    </i1763b2c29f04e448aeb93cd09d58152>
    <Document_x0020_Status xmlns="7d459c26-d71c-43ee-8f86-aefe53351e68" xsi:nil="true"/>
    <TaxCatchAll xmlns="7d459c26-d71c-43ee-8f86-aefe53351e68">
      <Value>14</Value>
      <Value>4</Value>
      <Value>7</Value>
    </TaxCatchAll>
    <k1c2b1abef184a55a4946ef2339c88e5 xmlns="7d459c26-d71c-43ee-8f86-aefe53351e68">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54eb8981-b8f9-407f-92f3-76b937e40110</TermId>
        </TermInfo>
      </Terms>
    </k1c2b1abef184a55a4946ef2339c88e5>
    <Review_x0020_Date xmlns="7d459c26-d71c-43ee-8f86-aefe53351e68" xsi:nil="true"/>
    <Month xmlns="7d459c26-d71c-43ee-8f86-aefe53351e68">Jul</Mont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LT Word Document" ma:contentTypeID="0x01010047059EAAB47A5644B78176FB1D481702002088235ADA092D428899D26B3010D8C000027E607F461B9844AC58688FA6B1FD50" ma:contentTypeVersion="3" ma:contentTypeDescription="" ma:contentTypeScope="" ma:versionID="5be6a1ff768a575aba45e49f449b055e">
  <xsd:schema xmlns:xsd="http://www.w3.org/2001/XMLSchema" xmlns:xs="http://www.w3.org/2001/XMLSchema" xmlns:p="http://schemas.microsoft.com/office/2006/metadata/properties" xmlns:ns2="7d459c26-d71c-43ee-8f86-aefe53351e68" targetNamespace="http://schemas.microsoft.com/office/2006/metadata/properties" ma:root="true" ma:fieldsID="0a0742ee996f7956528489cd1e3ff2c9" ns2:_="">
    <xsd:import namespace="7d459c26-d71c-43ee-8f86-aefe53351e68"/>
    <xsd:element name="properties">
      <xsd:complexType>
        <xsd:sequence>
          <xsd:element name="documentManagement">
            <xsd:complexType>
              <xsd:all>
                <xsd:element ref="ns2:i1763b2c29f04e448aeb93cd09d58152" minOccurs="0"/>
                <xsd:element ref="ns2:TaxCatchAll" minOccurs="0"/>
                <xsd:element ref="ns2:TaxCatchAllLabel" minOccurs="0"/>
                <xsd:element ref="ns2:k1c2b1abef184a55a4946ef2339c88e5" minOccurs="0"/>
                <xsd:element ref="ns2:Document_x0020_Status" minOccurs="0"/>
                <xsd:element ref="ns2:Review_x0020_Date" minOccurs="0"/>
                <xsd:element ref="ns2:hcec870b9858428984bab933438bcb87" minOccurs="0"/>
                <xsd:element ref="ns2:Academic_x0020_Year" minOccurs="0"/>
                <xsd:element ref="ns2:Target_x0020_Audience"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9c26-d71c-43ee-8f86-aefe53351e68" elementFormDefault="qualified">
    <xsd:import namespace="http://schemas.microsoft.com/office/2006/documentManagement/types"/>
    <xsd:import namespace="http://schemas.microsoft.com/office/infopath/2007/PartnerControls"/>
    <xsd:element name="i1763b2c29f04e448aeb93cd09d58152" ma:index="8" ma:taxonomy="true" ma:internalName="i1763b2c29f04e448aeb93cd09d58152" ma:taxonomyFieldName="Document_x0020_Type" ma:displayName="Document Type" ma:readOnly="false" ma:default="" ma:fieldId="{21763b2c-29f0-4e44-8aeb-93cd09d58152}" ma:sspId="492a95b4-344f-4437-879d-ba7c1dc581ad" ma:termSetId="5d593d5e-e999-44dc-aac6-a6b334cc82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b803b9-1604-4f2b-be06-50e3902b1d98}" ma:internalName="TaxCatchAll" ma:showField="CatchAllData" ma:web="9dc66476-f74d-43b0-8fe1-2c9fcdda765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b803b9-1604-4f2b-be06-50e3902b1d98}" ma:internalName="TaxCatchAllLabel" ma:readOnly="true" ma:showField="CatchAllDataLabel" ma:web="9dc66476-f74d-43b0-8fe1-2c9fcdda765f">
      <xsd:complexType>
        <xsd:complexContent>
          <xsd:extension base="dms:MultiChoiceLookup">
            <xsd:sequence>
              <xsd:element name="Value" type="dms:Lookup" maxOccurs="unbounded" minOccurs="0" nillable="true"/>
            </xsd:sequence>
          </xsd:extension>
        </xsd:complexContent>
      </xsd:complexType>
    </xsd:element>
    <xsd:element name="k1c2b1abef184a55a4946ef2339c88e5" ma:index="12" nillable="true" ma:taxonomy="true" ma:internalName="k1c2b1abef184a55a4946ef2339c88e5" ma:taxonomyFieldName="Division" ma:displayName="Departments" ma:default="" ma:fieldId="{41c2b1ab-ef18-4a55-a494-6ef2339c88e5}" ma:taxonomyMulti="true" ma:sspId="492a95b4-344f-4437-879d-ba7c1dc581ad" ma:termSetId="14c753cc-a0fb-47d4-bac7-50cc4c49c5e9" ma:anchorId="00000000-0000-0000-0000-000000000000" ma:open="false" ma:isKeyword="false">
      <xsd:complexType>
        <xsd:sequence>
          <xsd:element ref="pc:Terms" minOccurs="0" maxOccurs="1"/>
        </xsd:sequence>
      </xsd:complexType>
    </xsd:element>
    <xsd:element name="Document_x0020_Status" ma:index="14" nillable="true" ma:displayName="Document Status" ma:format="Dropdown" ma:internalName="Document_x0020_Status">
      <xsd:simpleType>
        <xsd:restriction base="dms:Choice">
          <xsd:enumeration value="Draft"/>
          <xsd:enumeration value="Final"/>
          <xsd:enumeration value="Inactive"/>
          <xsd:enumeration value="Active"/>
          <xsd:enumeration value="Under Review-To Approve"/>
          <xsd:enumeration value="Under Review-To Recommend Approval"/>
          <xsd:enumeration value="Approved"/>
        </xsd:restriction>
      </xsd:simpleType>
    </xsd:element>
    <xsd:element name="Review_x0020_Date" ma:index="15" nillable="true" ma:displayName="Review Date" ma:format="DateOnly" ma:internalName="Review_x0020_Date">
      <xsd:simpleType>
        <xsd:restriction base="dms:DateTime"/>
      </xsd:simpleType>
    </xsd:element>
    <xsd:element name="hcec870b9858428984bab933438bcb87" ma:index="16" ma:taxonomy="true" ma:internalName="hcec870b9858428984bab933438bcb87" ma:taxonomyFieldName="Theme" ma:displayName="Theme" ma:default="" ma:fieldId="{1cec870b-9858-4289-84ba-b933438bcb87}" ma:taxonomyMulti="true" ma:sspId="492a95b4-344f-4437-879d-ba7c1dc581ad" ma:termSetId="131cc6fb-441a-4996-b633-31260b177136" ma:anchorId="00000000-0000-0000-0000-000000000000" ma:open="false" ma:isKeyword="false">
      <xsd:complexType>
        <xsd:sequence>
          <xsd:element ref="pc:Terms" minOccurs="0" maxOccurs="1"/>
        </xsd:sequence>
      </xsd:complexType>
    </xsd:element>
    <xsd:element name="Academic_x0020_Year" ma:index="18" nillable="true" ma:displayName="Academic Year" ma:format="Dropdown" ma:internalName="Academic_x0020_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restriction>
      </xsd:simpleType>
    </xsd:element>
    <xsd:element name="Target_x0020_Audience" ma:index="19" nillable="true" ma:displayName="Target Audience" ma:internalName="Target_x0020_Audience">
      <xsd:complexType>
        <xsd:complexContent>
          <xsd:extension base="dms:MultiChoice">
            <xsd:sequence>
              <xsd:element name="Value" maxOccurs="unbounded" minOccurs="0" nillable="true">
                <xsd:simpleType>
                  <xsd:restriction base="dms:Choice">
                    <xsd:enumeration value="All"/>
                    <xsd:enumeration value="External"/>
                    <xsd:enumeration value="Staff"/>
                    <xsd:enumeration value="Student"/>
                    <xsd:enumeration value="Team Specific"/>
                  </xsd:restriction>
                </xsd:simpleType>
              </xsd:element>
            </xsd:sequence>
          </xsd:extension>
        </xsd:complexContent>
      </xsd:complexType>
    </xsd:element>
    <xsd:element name="Month" ma:index="20"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92a95b4-344f-4437-879d-ba7c1dc581ad" ContentTypeId="0x01010047059EAAB47A5644B78176FB1D481702002088235ADA092D428899D26B3010D8C0"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ECA3-3F04-4FF7-8C18-0051D6FDA7AC}">
  <ds:schemaRefs>
    <ds:schemaRef ds:uri="http://schemas.microsoft.com/office/2006/metadata/properties"/>
    <ds:schemaRef ds:uri="http://schemas.microsoft.com/office/infopath/2007/PartnerControls"/>
    <ds:schemaRef ds:uri="7d459c26-d71c-43ee-8f86-aefe53351e68"/>
  </ds:schemaRefs>
</ds:datastoreItem>
</file>

<file path=customXml/itemProps2.xml><?xml version="1.0" encoding="utf-8"?>
<ds:datastoreItem xmlns:ds="http://schemas.openxmlformats.org/officeDocument/2006/customXml" ds:itemID="{96FC3E14-B09D-4A20-B39E-5CE7790815BD}">
  <ds:schemaRefs>
    <ds:schemaRef ds:uri="http://schemas.microsoft.com/sharepoint/v3/contenttype/forms"/>
  </ds:schemaRefs>
</ds:datastoreItem>
</file>

<file path=customXml/itemProps3.xml><?xml version="1.0" encoding="utf-8"?>
<ds:datastoreItem xmlns:ds="http://schemas.openxmlformats.org/officeDocument/2006/customXml" ds:itemID="{532BA39C-4ABF-4C31-80BF-068120829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9c26-d71c-43ee-8f86-aefe5335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25CED-D4EA-4C98-804C-FFB64D0B281B}">
  <ds:schemaRefs>
    <ds:schemaRef ds:uri="Microsoft.SharePoint.Taxonomy.ContentTypeSync"/>
  </ds:schemaRefs>
</ds:datastoreItem>
</file>

<file path=customXml/itemProps5.xml><?xml version="1.0" encoding="utf-8"?>
<ds:datastoreItem xmlns:ds="http://schemas.openxmlformats.org/officeDocument/2006/customXml" ds:itemID="{BF57F6F6-AF1F-4872-AB29-9E92FA39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BI_A1_Academic Portrait</Template>
  <TotalTime>0</TotalTime>
  <Pages>4</Pages>
  <Words>884</Words>
  <Characters>5044</Characters>
  <Application>Microsoft Office Word</Application>
  <DocSecurity>0</DocSecurity>
  <Lines>42</Lines>
  <Paragraphs>11</Paragraphs>
  <ScaleCrop>false</ScaleCrop>
  <Company>Hewlett-Packard</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Hesketh</dc:creator>
  <cp:lastModifiedBy>Blessing Aladetoun</cp:lastModifiedBy>
  <cp:revision>2</cp:revision>
  <cp:lastPrinted>2013-01-31T17:39:00Z</cp:lastPrinted>
  <dcterms:created xsi:type="dcterms:W3CDTF">2025-07-16T11:45:00Z</dcterms:created>
  <dcterms:modified xsi:type="dcterms:W3CDTF">2025-07-16T11:45:00Z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0x01010047059EAAB47A5644B78176FB1D481702002088235ADA092D428899D26B3010D8C000027E607F461B9844AC58688FA6B1FD50</vt:lpwstr>
  </property>
  <property fmtid="{D5CDD505-2E9C-101B-9397-08002B2CF9AE}" pid="3" name="IsMyDocuments">
    <vt:bool>true</vt:bool>
  </property>
  <property fmtid="{D5CDD505-2E9C-101B-9397-08002B2CF9AE}" pid="4" name="Theme">
    <vt:lpwstr>4;#None|a17a3171-b607-4946-b4e0-2c33c913bef4</vt:lpwstr>
  </property>
  <property fmtid="{D5CDD505-2E9C-101B-9397-08002B2CF9AE}" pid="5" name="Division">
    <vt:lpwstr>7;#Brand|54eb8981-b8f9-407f-92f3-76b937e40110</vt:lpwstr>
  </property>
  <property fmtid="{D5CDD505-2E9C-101B-9397-08002B2CF9AE}" pid="6" name="Document Type">
    <vt:lpwstr>14;#Forms|01f45fe2-f71a-4a37-9330-26ae1ece5a4b</vt:lpwstr>
  </property>
  <property fmtid="{D5CDD505-2E9C-101B-9397-08002B2CF9AE}" pid="7" name="Document_x0020_Type">
    <vt:lpwstr>14;#Forms|01f45fe2-f71a-4a37-9330-26ae1ece5a4b</vt:lpwstr>
  </property>
  <property fmtid="{D5CDD505-2E9C-101B-9397-08002B2CF9AE}" pid="8" name="MediaServiceImageTags">
    <vt:lpwstr/>
  </property>
  <property fmtid="{D5CDD505-2E9C-101B-9397-08002B2CF9AE}" pid="9" name="lcf76f155ced4ddcb4097134ff3c332f">
    <vt:lpwstr/>
  </property>
</Properties>
</file>